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F" w:rsidRPr="008C2B29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Osnovna škola </w:t>
      </w:r>
      <w:r w:rsidR="00B329FF">
        <w:rPr>
          <w:rFonts w:asciiTheme="majorHAnsi" w:hAnsiTheme="majorHAnsi"/>
          <w:b/>
          <w:szCs w:val="24"/>
        </w:rPr>
        <w:t>Lipovac</w:t>
      </w:r>
    </w:p>
    <w:p w:rsidR="00385BEF" w:rsidRPr="008C2B29" w:rsidRDefault="00B329FF" w:rsidP="00385BE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Cvjetno naselje 8</w:t>
      </w:r>
    </w:p>
    <w:p w:rsidR="00385BEF" w:rsidRPr="008C2B29" w:rsidRDefault="00B329FF" w:rsidP="00385BE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32246 Lipovac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>Šifra škol</w:t>
      </w:r>
      <w:r w:rsidR="008C2B29">
        <w:rPr>
          <w:rFonts w:asciiTheme="majorHAnsi" w:hAnsiTheme="majorHAnsi"/>
          <w:b/>
          <w:szCs w:val="24"/>
        </w:rPr>
        <w:t>e</w:t>
      </w:r>
      <w:r w:rsidRPr="008C2B29">
        <w:rPr>
          <w:rFonts w:asciiTheme="majorHAnsi" w:hAnsiTheme="majorHAnsi"/>
          <w:b/>
          <w:szCs w:val="24"/>
        </w:rPr>
        <w:t xml:space="preserve">: </w:t>
      </w:r>
      <w:r w:rsidR="00B329FF">
        <w:rPr>
          <w:rFonts w:asciiTheme="majorHAnsi" w:hAnsiTheme="majorHAnsi"/>
          <w:szCs w:val="24"/>
        </w:rPr>
        <w:t>16-432-002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RKP: </w:t>
      </w:r>
      <w:r w:rsidR="00B329FF">
        <w:rPr>
          <w:rFonts w:asciiTheme="majorHAnsi" w:hAnsiTheme="majorHAnsi"/>
          <w:szCs w:val="24"/>
        </w:rPr>
        <w:t>21391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MB: </w:t>
      </w:r>
      <w:r w:rsidR="00B329FF">
        <w:rPr>
          <w:rFonts w:asciiTheme="majorHAnsi" w:hAnsiTheme="majorHAnsi"/>
          <w:szCs w:val="24"/>
        </w:rPr>
        <w:t>03301133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OIB: </w:t>
      </w:r>
      <w:r w:rsidR="00B329FF">
        <w:rPr>
          <w:rFonts w:asciiTheme="majorHAnsi" w:hAnsiTheme="majorHAnsi"/>
          <w:szCs w:val="24"/>
        </w:rPr>
        <w:t>74144075875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Razina: </w:t>
      </w:r>
      <w:r w:rsidRPr="008C2B29">
        <w:rPr>
          <w:rFonts w:asciiTheme="majorHAnsi" w:hAnsiTheme="majorHAnsi"/>
          <w:szCs w:val="24"/>
        </w:rPr>
        <w:t>31</w:t>
      </w:r>
      <w:r w:rsidR="008C2B29">
        <w:rPr>
          <w:rFonts w:asciiTheme="majorHAnsi" w:hAnsiTheme="majorHAnsi"/>
          <w:szCs w:val="24"/>
        </w:rPr>
        <w:t xml:space="preserve">, </w:t>
      </w:r>
      <w:r w:rsidR="008C2B29" w:rsidRPr="008C2B29">
        <w:rPr>
          <w:rFonts w:asciiTheme="majorHAnsi" w:hAnsiTheme="majorHAnsi"/>
          <w:b/>
          <w:szCs w:val="24"/>
        </w:rPr>
        <w:t>Razdjel:</w:t>
      </w:r>
      <w:r w:rsidR="008C2B29">
        <w:rPr>
          <w:rFonts w:asciiTheme="majorHAnsi" w:hAnsiTheme="majorHAnsi"/>
          <w:szCs w:val="24"/>
        </w:rPr>
        <w:t xml:space="preserve"> 000</w:t>
      </w:r>
    </w:p>
    <w:p w:rsidR="00385BEF" w:rsidRPr="008C2B29" w:rsidRDefault="00385BEF" w:rsidP="00385BEF">
      <w:pPr>
        <w:pStyle w:val="NoSpacing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Šifra djelatnosti: </w:t>
      </w:r>
      <w:r w:rsidRPr="008C2B29">
        <w:rPr>
          <w:rFonts w:asciiTheme="majorHAnsi" w:hAnsiTheme="majorHAnsi"/>
          <w:szCs w:val="24"/>
        </w:rPr>
        <w:t>8520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8E5048" w:rsidRDefault="00385BEF" w:rsidP="00385BEF">
      <w:pPr>
        <w:pStyle w:val="NoSpacing"/>
        <w:jc w:val="center"/>
        <w:rPr>
          <w:rFonts w:asciiTheme="majorHAnsi" w:hAnsiTheme="majorHAnsi"/>
          <w:b/>
          <w:sz w:val="36"/>
          <w:szCs w:val="24"/>
        </w:rPr>
      </w:pPr>
      <w:r w:rsidRPr="008E5048">
        <w:rPr>
          <w:rFonts w:asciiTheme="majorHAnsi" w:hAnsiTheme="majorHAnsi"/>
          <w:b/>
          <w:sz w:val="36"/>
          <w:szCs w:val="24"/>
        </w:rPr>
        <w:t>BILJEŠKE UZ FINANCIJSKI IZVJEŠTAJ</w:t>
      </w:r>
    </w:p>
    <w:p w:rsidR="00385BEF" w:rsidRPr="008E5048" w:rsidRDefault="007C71F3" w:rsidP="00385BEF">
      <w:pPr>
        <w:pStyle w:val="NoSpacing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Za razdoblje 01.01.2020. do 31.12.2020</w:t>
      </w:r>
      <w:r w:rsidR="00385BEF" w:rsidRPr="008E5048">
        <w:rPr>
          <w:rFonts w:asciiTheme="majorHAnsi" w:hAnsiTheme="majorHAnsi"/>
          <w:b/>
          <w:sz w:val="36"/>
          <w:szCs w:val="24"/>
        </w:rPr>
        <w:t>. godine</w:t>
      </w:r>
    </w:p>
    <w:p w:rsidR="00F00C7B" w:rsidRDefault="00F00C7B" w:rsidP="00385BEF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F00C7B" w:rsidRDefault="00F00C7B" w:rsidP="00385BEF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F00C7B" w:rsidRPr="0065101B" w:rsidRDefault="00F00C7B" w:rsidP="00F00C7B">
      <w:pPr>
        <w:pStyle w:val="NoSpacing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Škola se financira iz slijedećih izvora:</w:t>
      </w:r>
    </w:p>
    <w:p w:rsidR="00F00C7B" w:rsidRPr="00F00C7B" w:rsidRDefault="00F00C7B" w:rsidP="00F00C7B">
      <w:pPr>
        <w:pStyle w:val="NoSpacing"/>
        <w:jc w:val="both"/>
        <w:rPr>
          <w:rFonts w:asciiTheme="majorHAnsi" w:hAnsiTheme="majorHAnsi"/>
          <w:szCs w:val="24"/>
        </w:rPr>
      </w:pP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državnog proračuna</w:t>
      </w:r>
      <w:r w:rsidRPr="00F00C7B">
        <w:rPr>
          <w:rFonts w:asciiTheme="majorHAnsi" w:hAnsiTheme="majorHAnsi"/>
          <w:szCs w:val="24"/>
        </w:rPr>
        <w:t xml:space="preserve"> – Ministarstvo znanosti obrazovanja i sporta</w:t>
      </w:r>
      <w:r>
        <w:rPr>
          <w:rFonts w:asciiTheme="majorHAnsi" w:hAnsiTheme="majorHAnsi"/>
          <w:szCs w:val="24"/>
        </w:rPr>
        <w:t xml:space="preserve"> </w:t>
      </w:r>
      <w:r w:rsidRPr="00F00C7B">
        <w:rPr>
          <w:rFonts w:asciiTheme="majorHAnsi" w:hAnsiTheme="majorHAnsi"/>
          <w:szCs w:val="24"/>
        </w:rPr>
        <w:t xml:space="preserve">i to rashode za: </w:t>
      </w:r>
      <w:r>
        <w:rPr>
          <w:rFonts w:asciiTheme="majorHAnsi" w:hAnsiTheme="majorHAnsi"/>
          <w:szCs w:val="24"/>
        </w:rPr>
        <w:t>plaće i naknade zaposlenika, naknadu zbog nezapošljavanja invalida.</w:t>
      </w: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županijskog proračuna</w:t>
      </w:r>
      <w:r w:rsidRPr="00F00C7B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Vukovarsko-srijemska županija</w:t>
      </w: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Decentralizirani prihodi (zakonski standard škole) i prihodi na temelju ugovornih obveza (iznad zakonskog standarda). </w:t>
      </w: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Vlastiti prihodi</w:t>
      </w:r>
      <w:r w:rsidRPr="00F00C7B">
        <w:rPr>
          <w:rFonts w:asciiTheme="majorHAnsi" w:hAnsiTheme="majorHAnsi"/>
          <w:szCs w:val="24"/>
        </w:rPr>
        <w:t xml:space="preserve"> </w:t>
      </w: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Prihodi školskih kuhinja, prihodi od iznajmljivanja dvorane, prihodi od osiguranja-refundacija štete</w:t>
      </w:r>
      <w:r>
        <w:rPr>
          <w:rFonts w:asciiTheme="majorHAnsi" w:hAnsiTheme="majorHAnsi"/>
          <w:szCs w:val="24"/>
        </w:rPr>
        <w:t>.</w:t>
      </w:r>
    </w:p>
    <w:p w:rsidR="00F00C7B" w:rsidRP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 xml:space="preserve">Pomoći iz proračuna općine – Općina </w:t>
      </w:r>
      <w:r w:rsidR="00B329FF">
        <w:rPr>
          <w:rFonts w:asciiTheme="majorHAnsi" w:hAnsiTheme="majorHAnsi"/>
          <w:b/>
          <w:szCs w:val="24"/>
        </w:rPr>
        <w:t>Nijemci</w:t>
      </w:r>
    </w:p>
    <w:p w:rsidR="00F00C7B" w:rsidRDefault="00F00C7B" w:rsidP="008E5048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Prihodi za </w:t>
      </w:r>
      <w:r>
        <w:rPr>
          <w:rFonts w:asciiTheme="majorHAnsi" w:hAnsiTheme="majorHAnsi"/>
          <w:szCs w:val="24"/>
        </w:rPr>
        <w:t xml:space="preserve">plaću, naknade plaća i ostalih naknada zaposlenice - voditeljice </w:t>
      </w:r>
      <w:proofErr w:type="spellStart"/>
      <w:r>
        <w:rPr>
          <w:rFonts w:asciiTheme="majorHAnsi" w:hAnsiTheme="majorHAnsi"/>
          <w:szCs w:val="24"/>
        </w:rPr>
        <w:t>predškole</w:t>
      </w:r>
      <w:proofErr w:type="spellEnd"/>
      <w:r w:rsidRPr="00F00C7B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Prihodi za materijalne izdatke redovne djelatnosti osnovnog obrazovanja, te predškolskog obrazovanja.</w:t>
      </w:r>
    </w:p>
    <w:p w:rsidR="0065101B" w:rsidRPr="0065101B" w:rsidRDefault="0065101B" w:rsidP="00F00C7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101B" w:rsidRDefault="0065101B" w:rsidP="00F00C7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Osnovna škola </w:t>
      </w:r>
      <w:r w:rsidR="00B329FF">
        <w:rPr>
          <w:rFonts w:asciiTheme="majorHAnsi" w:hAnsiTheme="majorHAnsi"/>
          <w:szCs w:val="24"/>
        </w:rPr>
        <w:t>Lipovac</w:t>
      </w:r>
      <w:r>
        <w:rPr>
          <w:rFonts w:asciiTheme="majorHAnsi" w:hAnsiTheme="majorHAnsi"/>
          <w:szCs w:val="24"/>
        </w:rPr>
        <w:t xml:space="preserve"> djeluje na dvije lokacije. Kao osnovna škola u </w:t>
      </w:r>
      <w:r w:rsidR="00B329FF">
        <w:rPr>
          <w:rFonts w:asciiTheme="majorHAnsi" w:hAnsiTheme="majorHAnsi"/>
          <w:szCs w:val="24"/>
        </w:rPr>
        <w:t>Lipovcu</w:t>
      </w:r>
      <w:r>
        <w:rPr>
          <w:rFonts w:asciiTheme="majorHAnsi" w:hAnsiTheme="majorHAnsi"/>
          <w:szCs w:val="24"/>
        </w:rPr>
        <w:t xml:space="preserve">, te kao područna škola u </w:t>
      </w:r>
      <w:proofErr w:type="spellStart"/>
      <w:r w:rsidR="00B329FF">
        <w:rPr>
          <w:rFonts w:asciiTheme="majorHAnsi" w:hAnsiTheme="majorHAnsi"/>
          <w:szCs w:val="24"/>
        </w:rPr>
        <w:t>Apševcima</w:t>
      </w:r>
      <w:proofErr w:type="spellEnd"/>
      <w:r w:rsidR="00B329FF">
        <w:rPr>
          <w:rFonts w:asciiTheme="majorHAnsi" w:hAnsiTheme="majorHAnsi"/>
          <w:szCs w:val="24"/>
        </w:rPr>
        <w:t xml:space="preserve"> </w:t>
      </w:r>
      <w:r w:rsidR="00A7351D">
        <w:rPr>
          <w:rFonts w:asciiTheme="majorHAnsi" w:hAnsiTheme="majorHAnsi"/>
          <w:szCs w:val="24"/>
        </w:rPr>
        <w:t>. Ima ukupno 10 odjeljenja: 7</w:t>
      </w:r>
      <w:r>
        <w:rPr>
          <w:rFonts w:asciiTheme="majorHAnsi" w:hAnsiTheme="majorHAnsi"/>
          <w:szCs w:val="24"/>
        </w:rPr>
        <w:t xml:space="preserve"> odjeljenja u </w:t>
      </w:r>
      <w:r w:rsidR="00B329FF">
        <w:rPr>
          <w:rFonts w:asciiTheme="majorHAnsi" w:hAnsiTheme="majorHAnsi"/>
          <w:szCs w:val="24"/>
        </w:rPr>
        <w:t>Lipovcu</w:t>
      </w:r>
      <w:r w:rsidR="00A7351D">
        <w:rPr>
          <w:rFonts w:asciiTheme="majorHAnsi" w:hAnsiTheme="majorHAnsi"/>
          <w:szCs w:val="24"/>
        </w:rPr>
        <w:t xml:space="preserve"> (1. – 8. razred), te </w:t>
      </w:r>
      <w:r>
        <w:rPr>
          <w:rFonts w:asciiTheme="majorHAnsi" w:hAnsiTheme="majorHAnsi"/>
          <w:szCs w:val="24"/>
        </w:rPr>
        <w:t xml:space="preserve"> </w:t>
      </w:r>
      <w:r w:rsidR="00A7351D">
        <w:rPr>
          <w:rFonts w:asciiTheme="majorHAnsi" w:hAnsiTheme="majorHAnsi"/>
          <w:szCs w:val="24"/>
        </w:rPr>
        <w:t xml:space="preserve">1 </w:t>
      </w:r>
      <w:r>
        <w:rPr>
          <w:rFonts w:asciiTheme="majorHAnsi" w:hAnsiTheme="majorHAnsi"/>
          <w:szCs w:val="24"/>
        </w:rPr>
        <w:t xml:space="preserve">odjeljenja u </w:t>
      </w:r>
      <w:proofErr w:type="spellStart"/>
      <w:r w:rsidR="00B329FF">
        <w:rPr>
          <w:rFonts w:asciiTheme="majorHAnsi" w:hAnsiTheme="majorHAnsi"/>
          <w:szCs w:val="24"/>
        </w:rPr>
        <w:t>Apševcima</w:t>
      </w:r>
      <w:proofErr w:type="spellEnd"/>
      <w:r>
        <w:rPr>
          <w:rFonts w:asciiTheme="majorHAnsi" w:hAnsiTheme="majorHAnsi"/>
          <w:szCs w:val="24"/>
        </w:rPr>
        <w:t xml:space="preserve"> (kombinirani odjeli od 1. do 4.</w:t>
      </w:r>
      <w:r w:rsidR="00B329FF">
        <w:rPr>
          <w:rFonts w:asciiTheme="majorHAnsi" w:hAnsiTheme="majorHAnsi"/>
          <w:szCs w:val="24"/>
        </w:rPr>
        <w:t xml:space="preserve"> razreda). Nastavnu godinu 201</w:t>
      </w:r>
      <w:r w:rsidR="007C71F3">
        <w:rPr>
          <w:rFonts w:asciiTheme="majorHAnsi" w:hAnsiTheme="majorHAnsi"/>
          <w:szCs w:val="24"/>
        </w:rPr>
        <w:t>9/20</w:t>
      </w:r>
      <w:r>
        <w:rPr>
          <w:rFonts w:asciiTheme="majorHAnsi" w:hAnsiTheme="majorHAnsi"/>
          <w:szCs w:val="24"/>
        </w:rPr>
        <w:t xml:space="preserve"> zavr</w:t>
      </w:r>
      <w:r w:rsidR="00B329FF">
        <w:rPr>
          <w:rFonts w:asciiTheme="majorHAnsi" w:hAnsiTheme="majorHAnsi"/>
          <w:szCs w:val="24"/>
        </w:rPr>
        <w:t xml:space="preserve">šilo je  </w:t>
      </w:r>
      <w:r w:rsidR="00A7351D">
        <w:rPr>
          <w:rFonts w:asciiTheme="majorHAnsi" w:hAnsiTheme="majorHAnsi"/>
          <w:szCs w:val="24"/>
        </w:rPr>
        <w:t xml:space="preserve">65 </w:t>
      </w:r>
      <w:r w:rsidR="007C71F3">
        <w:rPr>
          <w:rFonts w:asciiTheme="majorHAnsi" w:hAnsiTheme="majorHAnsi"/>
          <w:szCs w:val="24"/>
        </w:rPr>
        <w:t>učenika, a novu 2020/21</w:t>
      </w:r>
      <w:r>
        <w:rPr>
          <w:rFonts w:asciiTheme="majorHAnsi" w:hAnsiTheme="majorHAnsi"/>
          <w:szCs w:val="24"/>
        </w:rPr>
        <w:t xml:space="preserve"> upisalo je </w:t>
      </w:r>
      <w:r w:rsidR="00B329FF">
        <w:rPr>
          <w:rFonts w:asciiTheme="majorHAnsi" w:hAnsiTheme="majorHAnsi"/>
          <w:szCs w:val="24"/>
        </w:rPr>
        <w:t>63</w:t>
      </w:r>
      <w:r>
        <w:rPr>
          <w:rFonts w:asciiTheme="majorHAnsi" w:hAnsiTheme="majorHAnsi"/>
          <w:szCs w:val="24"/>
        </w:rPr>
        <w:t xml:space="preserve"> učenika.</w:t>
      </w:r>
    </w:p>
    <w:p w:rsidR="0065101B" w:rsidRPr="0065101B" w:rsidRDefault="0065101B" w:rsidP="00F00C7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 xml:space="preserve">Osnivač Škole je </w:t>
      </w:r>
      <w:r>
        <w:rPr>
          <w:rFonts w:asciiTheme="majorHAnsi" w:hAnsiTheme="majorHAnsi"/>
          <w:szCs w:val="24"/>
        </w:rPr>
        <w:t>Vukovarsko-srijemska</w:t>
      </w:r>
      <w:r w:rsidRPr="0065101B">
        <w:rPr>
          <w:rFonts w:asciiTheme="majorHAnsi" w:hAnsiTheme="majorHAnsi"/>
          <w:szCs w:val="24"/>
        </w:rPr>
        <w:t xml:space="preserve"> županija</w:t>
      </w:r>
      <w:r>
        <w:rPr>
          <w:rFonts w:asciiTheme="majorHAnsi" w:hAnsiTheme="majorHAnsi"/>
          <w:szCs w:val="24"/>
        </w:rPr>
        <w:t xml:space="preserve">. </w:t>
      </w:r>
      <w:r w:rsidRPr="0065101B">
        <w:rPr>
          <w:rFonts w:asciiTheme="majorHAnsi" w:hAnsiTheme="majorHAnsi"/>
          <w:szCs w:val="24"/>
        </w:rPr>
        <w:t>Škola je pravna osoba koja je samostalna u obavljanju svoje djelatnosti i poslovanju sukladno zakonu, propisima utemeljenim na zakonu, Statutu Škole, stručnim normama i pravilima struke.</w:t>
      </w: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Škola obavlja djelatnost osnovnog odgoja i obrazovanja, koja obuhvaća opće obrazovanje, te druge oblike obrazovanja djece i mladih.</w:t>
      </w:r>
    </w:p>
    <w:p w:rsidR="0065101B" w:rsidRDefault="0065101B" w:rsidP="0065101B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Djelatnost se ostvaruje na temelju nacionalnog kurikuluma, nastavnih planova i programa i školskog kurikuluma te osiguranjem odgovarajućeg broja učitelja i stručnih suradnika pod uvjetima i na način propisan zakonom.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szCs w:val="24"/>
        </w:rPr>
        <w:t>Školom upravlja Školski odbor, a čiji rad se pobliže uređuje Statutom Škole, u skladu sa zakonskim propisima.</w:t>
      </w: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INSTITUCIONALNI OKVIR</w:t>
      </w: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U skladu sa Zakonom o proračunu (»Narodne novine«, br. 87/08, 136/12 i 15/15) i Pravilnikom o proračunskom računovodstvu i Računskom planu (»Narodne novine«, br. 124/14, 115/15, 87/16, 3/18) Škola je upisana u Registar korisnika proračuna kao Proračunski korisnik JLP(R)S koji obavlja poslove u sklopu funkcija koje su decentralizirane (razina 31).</w:t>
      </w:r>
    </w:p>
    <w:p w:rsidR="0065101B" w:rsidRDefault="0065101B" w:rsidP="0065101B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Financijsko izvještavanje definirano je Zakonom i Pravilnikom, a dodatno se tumačenja i naputci objavljuju na stranicama MFIN i FINA-e.</w:t>
      </w: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7C71F3" w:rsidRPr="007C71F3" w:rsidRDefault="007C71F3" w:rsidP="007C71F3">
      <w:pPr>
        <w:rPr>
          <w:rFonts w:asciiTheme="majorHAnsi" w:hAnsiTheme="majorHAnsi"/>
          <w:sz w:val="24"/>
          <w:szCs w:val="24"/>
        </w:rPr>
      </w:pPr>
      <w:r w:rsidRPr="007C71F3">
        <w:rPr>
          <w:rFonts w:asciiTheme="majorHAnsi" w:hAnsiTheme="majorHAnsi"/>
          <w:sz w:val="24"/>
          <w:szCs w:val="24"/>
        </w:rPr>
        <w:lastRenderedPageBreak/>
        <w:t xml:space="preserve">Dana 31. prosinca 2019. godine na stranicama MFIN objavljena je Okružnica o sastavljanju, konsolidaciji i predaji financijskih izvještaja proračuna, proračunskih i izvanproračunskih korisnika državnog proračuna te proračunskih i izvanproračunskih korisnika proračuna jedinica lokalne i područne (regionalne) samouprave za razdoblje od 1. siječnja do 31. Prosinca 2020. (Klasa: 400-02/20-01/29; </w:t>
      </w:r>
      <w:proofErr w:type="spellStart"/>
      <w:r w:rsidRPr="007C71F3">
        <w:rPr>
          <w:rFonts w:asciiTheme="majorHAnsi" w:hAnsiTheme="majorHAnsi"/>
          <w:sz w:val="24"/>
          <w:szCs w:val="24"/>
        </w:rPr>
        <w:t>Urbroj</w:t>
      </w:r>
      <w:proofErr w:type="spellEnd"/>
      <w:r w:rsidRPr="007C71F3">
        <w:rPr>
          <w:rFonts w:asciiTheme="majorHAnsi" w:hAnsiTheme="majorHAnsi"/>
          <w:sz w:val="24"/>
          <w:szCs w:val="24"/>
        </w:rPr>
        <w:t>: 513-05-03-20-12). U skladu sa svim navedenim Financijsko izvješće za 2020. godinu sastavljeno je na Obrascima financijskih izvještaja - proračun v.6.0.2., te se u nastavku daju bilješke po obrascima:</w:t>
      </w:r>
    </w:p>
    <w:p w:rsidR="008E5048" w:rsidRPr="00F00C7B" w:rsidRDefault="008E5048" w:rsidP="0065101B">
      <w:pPr>
        <w:pStyle w:val="NoSpacing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196D2B">
        <w:rPr>
          <w:rFonts w:asciiTheme="majorHAnsi" w:hAnsiTheme="majorHAnsi"/>
          <w:b/>
          <w:szCs w:val="24"/>
        </w:rPr>
        <w:t>Bilješke uz bilancu:</w:t>
      </w:r>
    </w:p>
    <w:p w:rsidR="00F95BB0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p w:rsidR="00F95BB0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 xml:space="preserve">AOP 002-062 </w:t>
      </w:r>
      <w:r w:rsidRPr="00DA328B">
        <w:rPr>
          <w:rFonts w:asciiTheme="majorHAnsi" w:hAnsiTheme="majorHAnsi"/>
          <w:szCs w:val="24"/>
        </w:rPr>
        <w:t xml:space="preserve">U obrascu BIL prikazana je vrijednost nefinancijske imovine: dugotrajne imovine, građevinskih objekata, postrojenja i opreme; u ukupnoj vrijednosti </w:t>
      </w:r>
      <w:r w:rsidR="007C71F3">
        <w:rPr>
          <w:rFonts w:asciiTheme="majorHAnsi" w:hAnsiTheme="majorHAnsi"/>
          <w:szCs w:val="24"/>
        </w:rPr>
        <w:t>2.294.319</w:t>
      </w:r>
      <w:r>
        <w:rPr>
          <w:rFonts w:asciiTheme="majorHAnsi" w:hAnsiTheme="majorHAnsi"/>
          <w:szCs w:val="24"/>
        </w:rPr>
        <w:t>kn</w:t>
      </w:r>
      <w:r w:rsidR="007C71F3">
        <w:rPr>
          <w:rFonts w:asciiTheme="majorHAnsi" w:hAnsiTheme="majorHAnsi"/>
          <w:szCs w:val="24"/>
        </w:rPr>
        <w:t xml:space="preserve"> na dan 1.1.2020</w:t>
      </w:r>
      <w:r w:rsidRPr="00DA328B">
        <w:rPr>
          <w:rFonts w:asciiTheme="majorHAnsi" w:hAnsiTheme="majorHAnsi"/>
          <w:szCs w:val="24"/>
        </w:rPr>
        <w:t>., te u vrijednosti od</w:t>
      </w:r>
      <w:r w:rsidR="007C71F3">
        <w:rPr>
          <w:rFonts w:asciiTheme="majorHAnsi" w:hAnsiTheme="majorHAnsi"/>
          <w:szCs w:val="24"/>
        </w:rPr>
        <w:t xml:space="preserve"> 2.813.184</w:t>
      </w:r>
      <w:r w:rsidRPr="00DA328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kn</w:t>
      </w:r>
      <w:r w:rsidR="007C71F3">
        <w:rPr>
          <w:rFonts w:asciiTheme="majorHAnsi" w:hAnsiTheme="majorHAnsi"/>
          <w:szCs w:val="24"/>
        </w:rPr>
        <w:t xml:space="preserve"> na dan 31.12.2020</w:t>
      </w:r>
      <w:r w:rsidRPr="00DA328B">
        <w:rPr>
          <w:rFonts w:asciiTheme="majorHAnsi" w:hAnsiTheme="majorHAnsi"/>
          <w:szCs w:val="24"/>
        </w:rPr>
        <w:t>. a s kojim datumom je obračunat je i ispravak vrijednosti po zakonskim stopama.</w:t>
      </w:r>
    </w:p>
    <w:p w:rsidR="00DA328B" w:rsidRPr="00DA328B" w:rsidRDefault="00DA328B" w:rsidP="00DA328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DA328B" w:rsidRPr="00DA328B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>AOP 063-161</w:t>
      </w:r>
      <w:r w:rsidRPr="00DA328B">
        <w:rPr>
          <w:rFonts w:asciiTheme="majorHAnsi" w:hAnsiTheme="majorHAnsi"/>
          <w:szCs w:val="24"/>
        </w:rPr>
        <w:t xml:space="preserve"> Financijsku imovina čine novčana sredstva na računu u poslovnoj banci, novac u blagajni, te potraživanja za prihode poslovanja.</w:t>
      </w:r>
    </w:p>
    <w:p w:rsidR="00DA328B" w:rsidRPr="00DA328B" w:rsidRDefault="007C71F3" w:rsidP="00DA328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dan 31.12.2020</w:t>
      </w:r>
      <w:r w:rsidR="00DA328B" w:rsidRPr="00DA328B">
        <w:rPr>
          <w:rFonts w:asciiTheme="majorHAnsi" w:hAnsiTheme="majorHAnsi"/>
          <w:szCs w:val="24"/>
        </w:rPr>
        <w:t xml:space="preserve">. imali smo </w:t>
      </w:r>
      <w:r>
        <w:rPr>
          <w:rFonts w:asciiTheme="majorHAnsi" w:hAnsiTheme="majorHAnsi"/>
          <w:szCs w:val="24"/>
        </w:rPr>
        <w:t>53.543</w:t>
      </w:r>
      <w:r w:rsidR="00DA328B">
        <w:rPr>
          <w:rFonts w:asciiTheme="majorHAnsi" w:hAnsiTheme="majorHAnsi"/>
          <w:szCs w:val="24"/>
        </w:rPr>
        <w:t xml:space="preserve"> kn</w:t>
      </w:r>
      <w:r w:rsidR="00DA328B" w:rsidRPr="00DA328B">
        <w:rPr>
          <w:rFonts w:asciiTheme="majorHAnsi" w:hAnsiTheme="majorHAnsi"/>
          <w:szCs w:val="24"/>
        </w:rPr>
        <w:t xml:space="preserve"> novčanih sredstava</w:t>
      </w:r>
      <w:r w:rsidR="00DA328B">
        <w:rPr>
          <w:rFonts w:asciiTheme="majorHAnsi" w:hAnsiTheme="majorHAnsi"/>
          <w:szCs w:val="24"/>
        </w:rPr>
        <w:t xml:space="preserve">, sve </w:t>
      </w:r>
      <w:r w:rsidR="00DA328B" w:rsidRPr="00DA328B">
        <w:rPr>
          <w:rFonts w:asciiTheme="majorHAnsi" w:hAnsiTheme="majorHAnsi"/>
          <w:szCs w:val="24"/>
        </w:rPr>
        <w:t>na poslovnom računu banke (stanje</w:t>
      </w:r>
      <w:r>
        <w:rPr>
          <w:rFonts w:asciiTheme="majorHAnsi" w:hAnsiTheme="majorHAnsi"/>
          <w:szCs w:val="24"/>
        </w:rPr>
        <w:t xml:space="preserve"> je iskazano na zadnjem izvodu banke)</w:t>
      </w:r>
    </w:p>
    <w:p w:rsidR="00DA328B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Od potraživanja za prihode poslovanja </w:t>
      </w:r>
      <w:r w:rsidR="00DA4DF0">
        <w:rPr>
          <w:rFonts w:asciiTheme="majorHAnsi" w:hAnsiTheme="majorHAnsi"/>
          <w:szCs w:val="24"/>
        </w:rPr>
        <w:t>n</w:t>
      </w:r>
      <w:r w:rsidRPr="00DA328B">
        <w:rPr>
          <w:rFonts w:asciiTheme="majorHAnsi" w:hAnsiTheme="majorHAnsi"/>
          <w:szCs w:val="24"/>
        </w:rPr>
        <w:t xml:space="preserve">a računu 19311 prikazani su kontinuirani rashodi budućeg razdoblja- aktivna vremenska razgraničenja, tj. obračun plaće za prosinac, a koja </w:t>
      </w:r>
      <w:r w:rsidR="00DA4DF0">
        <w:rPr>
          <w:rFonts w:asciiTheme="majorHAnsi" w:hAnsiTheme="majorHAnsi"/>
          <w:szCs w:val="24"/>
        </w:rPr>
        <w:t>ć</w:t>
      </w:r>
      <w:r w:rsidR="007C71F3">
        <w:rPr>
          <w:rFonts w:asciiTheme="majorHAnsi" w:hAnsiTheme="majorHAnsi"/>
          <w:szCs w:val="24"/>
        </w:rPr>
        <w:t>e biti isplaćena u siječnju 2021</w:t>
      </w:r>
      <w:r w:rsidRPr="00DA328B">
        <w:rPr>
          <w:rFonts w:asciiTheme="majorHAnsi" w:hAnsiTheme="majorHAnsi"/>
          <w:szCs w:val="24"/>
        </w:rPr>
        <w:t xml:space="preserve">. godine u iznosu </w:t>
      </w:r>
      <w:r w:rsidR="007C71F3">
        <w:rPr>
          <w:rFonts w:asciiTheme="majorHAnsi" w:hAnsiTheme="majorHAnsi"/>
          <w:szCs w:val="24"/>
        </w:rPr>
        <w:t>194.511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>.</w:t>
      </w:r>
      <w:r w:rsidR="007C71F3">
        <w:rPr>
          <w:rFonts w:asciiTheme="majorHAnsi" w:hAnsiTheme="majorHAnsi"/>
          <w:szCs w:val="24"/>
        </w:rPr>
        <w:t xml:space="preserve"> </w:t>
      </w:r>
    </w:p>
    <w:p w:rsidR="001731B8" w:rsidRPr="001731B8" w:rsidRDefault="001731B8" w:rsidP="00DA328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58193D" w:rsidRDefault="001731B8" w:rsidP="001731B8">
      <w:pPr>
        <w:pStyle w:val="NoSpacing"/>
        <w:jc w:val="both"/>
        <w:rPr>
          <w:rFonts w:asciiTheme="majorHAnsi" w:hAnsiTheme="majorHAnsi"/>
          <w:szCs w:val="24"/>
        </w:rPr>
      </w:pPr>
      <w:r w:rsidRPr="001731B8">
        <w:rPr>
          <w:rFonts w:asciiTheme="majorHAnsi" w:hAnsiTheme="majorHAnsi"/>
          <w:b/>
          <w:szCs w:val="24"/>
        </w:rPr>
        <w:t>AOP 162-240</w:t>
      </w:r>
      <w:r w:rsidRPr="001731B8">
        <w:rPr>
          <w:rFonts w:asciiTheme="majorHAnsi" w:hAnsiTheme="majorHAnsi"/>
          <w:szCs w:val="24"/>
        </w:rPr>
        <w:t xml:space="preserve"> Obveze prikazane na računima razreda 2 prikazuju obveze za rashode nastale temeljem vjerodostojne knjigovodstvene evidencije, a u okviru </w:t>
      </w:r>
      <w:proofErr w:type="spellStart"/>
      <w:r w:rsidRPr="001731B8">
        <w:rPr>
          <w:rFonts w:asciiTheme="majorHAnsi" w:hAnsiTheme="majorHAnsi"/>
          <w:szCs w:val="24"/>
        </w:rPr>
        <w:t>podračuna</w:t>
      </w:r>
      <w:proofErr w:type="spellEnd"/>
      <w:r w:rsidRPr="001731B8">
        <w:rPr>
          <w:rFonts w:asciiTheme="majorHAnsi" w:hAnsiTheme="majorHAnsi"/>
          <w:szCs w:val="24"/>
        </w:rPr>
        <w:t xml:space="preserve"> 23; o</w:t>
      </w:r>
      <w:r w:rsidR="007C71F3">
        <w:rPr>
          <w:rFonts w:asciiTheme="majorHAnsi" w:hAnsiTheme="majorHAnsi"/>
          <w:szCs w:val="24"/>
        </w:rPr>
        <w:t>bveze za zaposlene (plaća 12/2020</w:t>
      </w:r>
      <w:r w:rsidRPr="001731B8">
        <w:rPr>
          <w:rFonts w:asciiTheme="majorHAnsi" w:hAnsiTheme="majorHAnsi"/>
          <w:szCs w:val="24"/>
        </w:rPr>
        <w:t>),</w:t>
      </w:r>
      <w:r w:rsidR="0058193D">
        <w:rPr>
          <w:rFonts w:asciiTheme="majorHAnsi" w:hAnsiTheme="majorHAnsi"/>
          <w:szCs w:val="24"/>
        </w:rPr>
        <w:t xml:space="preserve"> naknad</w:t>
      </w:r>
      <w:r w:rsidR="00DA4DF0">
        <w:rPr>
          <w:rFonts w:asciiTheme="majorHAnsi" w:hAnsiTheme="majorHAnsi"/>
          <w:szCs w:val="24"/>
        </w:rPr>
        <w:t>e zbog nezapošljavanja invalida</w:t>
      </w:r>
      <w:r w:rsidRPr="001731B8">
        <w:rPr>
          <w:rFonts w:asciiTheme="majorHAnsi" w:hAnsiTheme="majorHAnsi"/>
          <w:szCs w:val="24"/>
        </w:rPr>
        <w:t xml:space="preserve"> i obveze za materijalne rashode (režijski troškovi prosinac, nedospjeli računi).</w:t>
      </w:r>
      <w:r w:rsidR="0058193D">
        <w:rPr>
          <w:rFonts w:asciiTheme="majorHAnsi" w:hAnsiTheme="majorHAnsi"/>
          <w:szCs w:val="24"/>
        </w:rPr>
        <w:t xml:space="preserve"> </w:t>
      </w:r>
    </w:p>
    <w:p w:rsidR="00F95BB0" w:rsidRPr="00196D2B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101"/>
        <w:gridCol w:w="1060"/>
        <w:gridCol w:w="1770"/>
        <w:gridCol w:w="2012"/>
        <w:gridCol w:w="1162"/>
      </w:tblGrid>
      <w:tr w:rsidR="00B67B63" w:rsidRPr="00196D2B" w:rsidTr="00B67B63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770" w:type="dxa"/>
            <w:shd w:val="clear" w:color="auto" w:fill="000000" w:themeFill="text1"/>
          </w:tcPr>
          <w:p w:rsidR="00385BEF" w:rsidRPr="00196D2B" w:rsidRDefault="00B67B63" w:rsidP="00DA4DF0">
            <w:pPr>
              <w:pStyle w:val="NoSpacing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</w:t>
            </w:r>
            <w:r w:rsidR="007C71F3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2" w:type="dxa"/>
            <w:shd w:val="clear" w:color="auto" w:fill="000000" w:themeFill="text1"/>
          </w:tcPr>
          <w:p w:rsidR="00385BEF" w:rsidRPr="00196D2B" w:rsidRDefault="00B67B63" w:rsidP="00B67B63">
            <w:pPr>
              <w:pStyle w:val="NoSpacing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</w:t>
            </w:r>
            <w:r w:rsidR="007C71F3">
              <w:rPr>
                <w:rFonts w:asciiTheme="majorHAnsi" w:hAnsiTheme="majorHAnsi"/>
                <w:b/>
                <w:color w:val="FFFFFF" w:themeColor="background1"/>
                <w:szCs w:val="24"/>
              </w:rPr>
              <w:t>1.12.2020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2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B67B63">
        <w:tc>
          <w:tcPr>
            <w:tcW w:w="937" w:type="dxa"/>
          </w:tcPr>
          <w:p w:rsidR="00385BEF" w:rsidRDefault="0077245E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0221</w:t>
            </w:r>
          </w:p>
        </w:tc>
        <w:tc>
          <w:tcPr>
            <w:tcW w:w="3101" w:type="dxa"/>
          </w:tcPr>
          <w:p w:rsidR="00385BEF" w:rsidRDefault="0077245E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Uredska oprema i namještaj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77245E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015</w:t>
            </w:r>
          </w:p>
        </w:tc>
        <w:tc>
          <w:tcPr>
            <w:tcW w:w="1770" w:type="dxa"/>
          </w:tcPr>
          <w:p w:rsidR="00385BEF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208.365</w:t>
            </w:r>
          </w:p>
        </w:tc>
        <w:tc>
          <w:tcPr>
            <w:tcW w:w="2012" w:type="dxa"/>
          </w:tcPr>
          <w:p w:rsidR="00385BEF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223.842</w:t>
            </w:r>
          </w:p>
        </w:tc>
        <w:tc>
          <w:tcPr>
            <w:tcW w:w="1162" w:type="dxa"/>
          </w:tcPr>
          <w:p w:rsidR="00385BEF" w:rsidRDefault="00DA4DF0" w:rsidP="007C71F3">
            <w:pPr>
              <w:pStyle w:val="NoSpacing"/>
              <w:tabs>
                <w:tab w:val="center" w:pos="473"/>
                <w:tab w:val="right" w:pos="946"/>
              </w:tabs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ab/>
            </w:r>
            <w:r w:rsidR="007C71F3">
              <w:rPr>
                <w:rFonts w:asciiTheme="majorHAnsi" w:hAnsiTheme="majorHAnsi"/>
                <w:szCs w:val="24"/>
              </w:rPr>
              <w:t>107,4</w:t>
            </w:r>
          </w:p>
        </w:tc>
      </w:tr>
      <w:tr w:rsidR="00385BEF" w:rsidTr="00B67B63">
        <w:tc>
          <w:tcPr>
            <w:tcW w:w="937" w:type="dxa"/>
          </w:tcPr>
          <w:p w:rsidR="00385BEF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0226</w:t>
            </w:r>
          </w:p>
        </w:tc>
        <w:tc>
          <w:tcPr>
            <w:tcW w:w="3101" w:type="dxa"/>
          </w:tcPr>
          <w:p w:rsidR="00385BEF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Sportska i glazbena oprema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020</w:t>
            </w:r>
          </w:p>
        </w:tc>
        <w:tc>
          <w:tcPr>
            <w:tcW w:w="1770" w:type="dxa"/>
          </w:tcPr>
          <w:p w:rsidR="00385BEF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110.772</w:t>
            </w:r>
          </w:p>
        </w:tc>
        <w:tc>
          <w:tcPr>
            <w:tcW w:w="2012" w:type="dxa"/>
          </w:tcPr>
          <w:p w:rsidR="00385BEF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116.624</w:t>
            </w:r>
          </w:p>
        </w:tc>
        <w:tc>
          <w:tcPr>
            <w:tcW w:w="1162" w:type="dxa"/>
          </w:tcPr>
          <w:p w:rsidR="00385BEF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105,3</w:t>
            </w:r>
          </w:p>
        </w:tc>
      </w:tr>
      <w:tr w:rsidR="00AD2EC5" w:rsidTr="00B67B63">
        <w:tc>
          <w:tcPr>
            <w:tcW w:w="937" w:type="dxa"/>
          </w:tcPr>
          <w:p w:rsidR="00AD2EC5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0241</w:t>
            </w:r>
          </w:p>
        </w:tc>
        <w:tc>
          <w:tcPr>
            <w:tcW w:w="3101" w:type="dxa"/>
          </w:tcPr>
          <w:p w:rsidR="00AD2EC5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Knjige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AD2EC5" w:rsidRDefault="00AD2EC5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031</w:t>
            </w:r>
          </w:p>
        </w:tc>
        <w:tc>
          <w:tcPr>
            <w:tcW w:w="1770" w:type="dxa"/>
          </w:tcPr>
          <w:p w:rsidR="00AD2EC5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115.638</w:t>
            </w:r>
          </w:p>
        </w:tc>
        <w:tc>
          <w:tcPr>
            <w:tcW w:w="2012" w:type="dxa"/>
          </w:tcPr>
          <w:p w:rsidR="00AD2EC5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144.248</w:t>
            </w:r>
          </w:p>
        </w:tc>
        <w:tc>
          <w:tcPr>
            <w:tcW w:w="1162" w:type="dxa"/>
          </w:tcPr>
          <w:p w:rsidR="00AD2EC5" w:rsidRDefault="007C71F3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124,7</w:t>
            </w:r>
          </w:p>
        </w:tc>
      </w:tr>
    </w:tbl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194FB5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002 – Nefinancijska imovina</w:t>
      </w:r>
    </w:p>
    <w:p w:rsidR="00432F62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nefinancijske imovine u odnosu na kraj prošle godine je </w:t>
      </w:r>
      <w:r w:rsidR="007C71F3">
        <w:rPr>
          <w:rFonts w:asciiTheme="majorHAnsi" w:hAnsiTheme="majorHAnsi"/>
          <w:szCs w:val="24"/>
        </w:rPr>
        <w:t>122,6</w:t>
      </w:r>
      <w:r>
        <w:rPr>
          <w:rFonts w:asciiTheme="majorHAnsi" w:hAnsiTheme="majorHAnsi"/>
          <w:szCs w:val="24"/>
        </w:rPr>
        <w:t>.</w:t>
      </w:r>
      <w:r w:rsidR="00B67B63">
        <w:rPr>
          <w:rFonts w:asciiTheme="majorHAnsi" w:hAnsiTheme="majorHAnsi"/>
          <w:szCs w:val="24"/>
        </w:rPr>
        <w:t xml:space="preserve"> </w:t>
      </w:r>
      <w:r w:rsidR="007C71F3">
        <w:rPr>
          <w:rFonts w:asciiTheme="majorHAnsi" w:hAnsiTheme="majorHAnsi"/>
          <w:szCs w:val="24"/>
        </w:rPr>
        <w:t>Škola je u 2020</w:t>
      </w:r>
      <w:r w:rsidR="00432F62">
        <w:rPr>
          <w:rFonts w:asciiTheme="majorHAnsi" w:hAnsiTheme="majorHAnsi"/>
          <w:szCs w:val="24"/>
        </w:rPr>
        <w:t>. godini nabavila:</w:t>
      </w:r>
    </w:p>
    <w:p w:rsidR="00432F62" w:rsidRDefault="007C71F3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Uredske opreme i namještaja </w:t>
      </w:r>
      <w:r w:rsidR="00432F62">
        <w:rPr>
          <w:rFonts w:asciiTheme="majorHAnsi" w:hAnsiTheme="majorHAnsi"/>
          <w:szCs w:val="24"/>
        </w:rPr>
        <w:tab/>
      </w:r>
      <w:r w:rsidR="00432F62">
        <w:rPr>
          <w:rFonts w:asciiTheme="majorHAnsi" w:hAnsiTheme="majorHAnsi"/>
          <w:szCs w:val="24"/>
        </w:rPr>
        <w:tab/>
      </w:r>
      <w:r w:rsidRPr="007C71F3">
        <w:rPr>
          <w:rFonts w:asciiTheme="majorHAnsi" w:hAnsiTheme="majorHAnsi"/>
          <w:szCs w:val="24"/>
        </w:rPr>
        <w:t>15.477</w:t>
      </w:r>
      <w:r>
        <w:rPr>
          <w:rFonts w:asciiTheme="majorHAnsi" w:hAnsiTheme="majorHAnsi"/>
          <w:szCs w:val="24"/>
        </w:rPr>
        <w:t xml:space="preserve"> </w:t>
      </w:r>
      <w:r w:rsidR="00432F62">
        <w:rPr>
          <w:rFonts w:asciiTheme="majorHAnsi" w:hAnsiTheme="majorHAnsi"/>
          <w:szCs w:val="24"/>
        </w:rPr>
        <w:t>kn (AOP 015)</w:t>
      </w:r>
    </w:p>
    <w:p w:rsidR="00AD2EC5" w:rsidRDefault="00AD2EC5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Sportske i glazbene opreme</w:t>
      </w:r>
      <w:r w:rsidR="007C71F3" w:rsidRPr="007C71F3">
        <w:t xml:space="preserve"> </w:t>
      </w:r>
      <w:r w:rsidR="007C71F3">
        <w:t xml:space="preserve">                         </w:t>
      </w:r>
      <w:r w:rsidR="007C71F3" w:rsidRPr="007C71F3">
        <w:rPr>
          <w:rFonts w:asciiTheme="majorHAnsi" w:hAnsiTheme="majorHAnsi"/>
          <w:szCs w:val="24"/>
        </w:rPr>
        <w:t>5.852</w:t>
      </w:r>
      <w:r w:rsidR="007C71F3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kn (AOP 020)</w:t>
      </w:r>
    </w:p>
    <w:p w:rsidR="00385BEF" w:rsidRDefault="00B67B63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Knjiga: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7C71F3" w:rsidRPr="007C71F3">
        <w:rPr>
          <w:rFonts w:asciiTheme="majorHAnsi" w:hAnsiTheme="majorHAnsi"/>
          <w:szCs w:val="24"/>
        </w:rPr>
        <w:t>28.610</w:t>
      </w:r>
      <w:r w:rsidR="007C71F3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kn (AOP 031)</w:t>
      </w:r>
    </w:p>
    <w:p w:rsidR="003059CC" w:rsidRPr="00B67B63" w:rsidRDefault="003059CC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Amortizirana je imovina u vrijednosti  </w:t>
      </w:r>
      <w:r w:rsidR="007C71F3">
        <w:rPr>
          <w:rFonts w:asciiTheme="majorHAnsi" w:hAnsiTheme="majorHAnsi"/>
          <w:szCs w:val="24"/>
        </w:rPr>
        <w:t>111.150</w:t>
      </w:r>
      <w:r>
        <w:rPr>
          <w:rFonts w:asciiTheme="majorHAnsi" w:hAnsiTheme="majorHAnsi"/>
          <w:szCs w:val="24"/>
        </w:rPr>
        <w:t xml:space="preserve"> kn. U odnosu na isto razdoblje prošle godine nije puno promijenilo.</w:t>
      </w:r>
    </w:p>
    <w:p w:rsidR="00385BEF" w:rsidRPr="00B67B63" w:rsidRDefault="00385BEF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Pr="00194FB5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063 – Financijska imovina</w:t>
      </w:r>
    </w:p>
    <w:p w:rsidR="00385BEF" w:rsidRDefault="00385BEF" w:rsidP="003059C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financijske imovine u odnosu na kraj prošle godine je </w:t>
      </w:r>
      <w:r w:rsidR="00121392">
        <w:rPr>
          <w:rFonts w:asciiTheme="majorHAnsi" w:hAnsiTheme="majorHAnsi"/>
          <w:szCs w:val="24"/>
        </w:rPr>
        <w:t>113,1</w:t>
      </w:r>
      <w:r w:rsidR="004A5D1A">
        <w:rPr>
          <w:rFonts w:asciiTheme="majorHAnsi" w:hAnsiTheme="majorHAnsi"/>
          <w:szCs w:val="24"/>
        </w:rPr>
        <w:t>.</w:t>
      </w:r>
    </w:p>
    <w:p w:rsidR="00385BEF" w:rsidRDefault="00385BEF" w:rsidP="003059CC">
      <w:pPr>
        <w:pStyle w:val="NoSpacing"/>
        <w:jc w:val="both"/>
        <w:rPr>
          <w:rFonts w:asciiTheme="majorHAnsi" w:hAnsiTheme="majorHAnsi"/>
          <w:szCs w:val="24"/>
        </w:rPr>
      </w:pPr>
      <w:r w:rsidRPr="00194FB5">
        <w:rPr>
          <w:rFonts w:asciiTheme="majorHAnsi" w:hAnsiTheme="majorHAnsi"/>
          <w:szCs w:val="24"/>
        </w:rPr>
        <w:t>*</w:t>
      </w:r>
      <w:r>
        <w:rPr>
          <w:rFonts w:asciiTheme="majorHAnsi" w:hAnsiTheme="majorHAnsi"/>
          <w:szCs w:val="24"/>
        </w:rPr>
        <w:t xml:space="preserve"> novac na računu kod poslovnih banaka</w:t>
      </w:r>
      <w:r w:rsidR="003059C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(AOP 06</w:t>
      </w:r>
      <w:r w:rsidR="004A5D1A">
        <w:rPr>
          <w:rFonts w:asciiTheme="majorHAnsi" w:hAnsiTheme="majorHAnsi"/>
          <w:szCs w:val="24"/>
        </w:rPr>
        <w:t xml:space="preserve">7) je </w:t>
      </w:r>
      <w:r>
        <w:rPr>
          <w:rFonts w:asciiTheme="majorHAnsi" w:hAnsiTheme="majorHAnsi"/>
          <w:szCs w:val="24"/>
        </w:rPr>
        <w:t xml:space="preserve"> </w:t>
      </w:r>
      <w:r w:rsidR="00121392">
        <w:rPr>
          <w:rFonts w:asciiTheme="majorHAnsi" w:hAnsiTheme="majorHAnsi"/>
          <w:szCs w:val="24"/>
        </w:rPr>
        <w:t>53.543</w:t>
      </w:r>
      <w:r>
        <w:rPr>
          <w:rFonts w:asciiTheme="majorHAnsi" w:hAnsiTheme="majorHAnsi"/>
          <w:szCs w:val="24"/>
        </w:rPr>
        <w:t xml:space="preserve"> (indeks </w:t>
      </w:r>
      <w:r w:rsidR="00121392">
        <w:rPr>
          <w:rFonts w:asciiTheme="majorHAnsi" w:hAnsiTheme="majorHAnsi"/>
          <w:szCs w:val="24"/>
        </w:rPr>
        <w:t>234,6</w:t>
      </w:r>
      <w:r>
        <w:rPr>
          <w:rFonts w:asciiTheme="majorHAnsi" w:hAnsiTheme="majorHAnsi"/>
          <w:szCs w:val="24"/>
        </w:rPr>
        <w:t xml:space="preserve">) </w:t>
      </w:r>
      <w:r w:rsidR="00121392">
        <w:rPr>
          <w:rFonts w:asciiTheme="majorHAnsi" w:hAnsiTheme="majorHAnsi"/>
          <w:szCs w:val="24"/>
        </w:rPr>
        <w:t>velik indeks rezultat je velike uplate županije 31.12</w:t>
      </w:r>
      <w:r w:rsidR="004A5D1A">
        <w:rPr>
          <w:rFonts w:asciiTheme="majorHAnsi" w:hAnsiTheme="majorHAnsi"/>
          <w:szCs w:val="24"/>
        </w:rPr>
        <w:t>.</w:t>
      </w:r>
      <w:r w:rsidR="00121392">
        <w:rPr>
          <w:rFonts w:asciiTheme="majorHAnsi" w:hAnsiTheme="majorHAnsi"/>
          <w:szCs w:val="24"/>
        </w:rPr>
        <w:t xml:space="preserve"> raspodjela viškova iz 2020 godine.</w:t>
      </w:r>
    </w:p>
    <w:p w:rsidR="00385BEF" w:rsidRPr="00121392" w:rsidRDefault="00385BEF" w:rsidP="00121392">
      <w:pPr>
        <w:pStyle w:val="NoSpacing"/>
        <w:rPr>
          <w:rFonts w:asciiTheme="majorHAnsi" w:hAnsiTheme="majorHAnsi"/>
          <w:b/>
          <w:szCs w:val="24"/>
        </w:rPr>
      </w:pPr>
    </w:p>
    <w:p w:rsidR="00385BEF" w:rsidRPr="00B67B63" w:rsidRDefault="00385BEF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B67B63" w:rsidRPr="00B67B63" w:rsidRDefault="00B67B63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Default="00121392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 2020</w:t>
      </w:r>
      <w:r w:rsidR="00385BEF">
        <w:rPr>
          <w:rFonts w:asciiTheme="majorHAnsi" w:hAnsiTheme="majorHAnsi"/>
          <w:szCs w:val="24"/>
        </w:rPr>
        <w:t xml:space="preserve">. godini škola, nije zaprimila donacija u naravi, nego uglavnom novčana sredstva prema zahtjevima osnivaču i Općini </w:t>
      </w:r>
      <w:r w:rsidR="004A5D1A">
        <w:rPr>
          <w:rFonts w:asciiTheme="majorHAnsi" w:hAnsiTheme="majorHAnsi"/>
          <w:szCs w:val="24"/>
        </w:rPr>
        <w:t>Nijemci</w:t>
      </w:r>
      <w:r w:rsidR="00385BEF">
        <w:rPr>
          <w:rFonts w:asciiTheme="majorHAnsi" w:hAnsiTheme="majorHAnsi"/>
          <w:szCs w:val="24"/>
        </w:rPr>
        <w:t>, za nabavu opreme ili ulaganja u objekt.</w:t>
      </w:r>
    </w:p>
    <w:p w:rsidR="008E5048" w:rsidRDefault="008E5048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66692C">
        <w:rPr>
          <w:rFonts w:asciiTheme="majorHAnsi" w:hAnsiTheme="majorHAnsi"/>
          <w:b/>
          <w:szCs w:val="24"/>
        </w:rPr>
        <w:lastRenderedPageBreak/>
        <w:t>Bilješke uz Izvještaj o prihodima i rashodima, primicima i izdacima – Obrazac PR-RAS</w:t>
      </w:r>
    </w:p>
    <w:p w:rsidR="00F95BB0" w:rsidRPr="008E5048" w:rsidRDefault="00F95BB0" w:rsidP="00385BEF">
      <w:pPr>
        <w:pStyle w:val="NoSpacing"/>
        <w:rPr>
          <w:rFonts w:asciiTheme="majorHAnsi" w:hAnsiTheme="majorHAnsi"/>
          <w:b/>
          <w:sz w:val="16"/>
          <w:szCs w:val="24"/>
        </w:rPr>
      </w:pPr>
    </w:p>
    <w:p w:rsidR="00F95BB0" w:rsidRPr="00F95BB0" w:rsidRDefault="00F95BB0" w:rsidP="00F95BB0">
      <w:pPr>
        <w:pStyle w:val="NoSpacing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PRIHODI</w:t>
      </w:r>
    </w:p>
    <w:p w:rsidR="00F95BB0" w:rsidRDefault="00F95BB0" w:rsidP="00892C78">
      <w:pPr>
        <w:pStyle w:val="NoSpacing"/>
        <w:jc w:val="both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001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DB6262">
        <w:rPr>
          <w:rFonts w:asciiTheme="majorHAnsi" w:hAnsiTheme="majorHAnsi"/>
          <w:szCs w:val="24"/>
        </w:rPr>
        <w:t>2.962.082</w:t>
      </w:r>
      <w:r>
        <w:rPr>
          <w:rFonts w:asciiTheme="majorHAnsi" w:hAnsiTheme="majorHAnsi"/>
          <w:szCs w:val="24"/>
        </w:rPr>
        <w:t xml:space="preserve"> k</w:t>
      </w:r>
      <w:r w:rsidRPr="00F95BB0">
        <w:rPr>
          <w:rFonts w:asciiTheme="majorHAnsi" w:hAnsiTheme="majorHAnsi"/>
          <w:szCs w:val="24"/>
        </w:rPr>
        <w:t>n prihoda (klasa 6) što je u odnosu na 201</w:t>
      </w:r>
      <w:r w:rsidR="00DB6262">
        <w:rPr>
          <w:rFonts w:asciiTheme="majorHAnsi" w:hAnsiTheme="majorHAnsi"/>
          <w:szCs w:val="24"/>
        </w:rPr>
        <w:t>9</w:t>
      </w:r>
      <w:r w:rsidR="00A51E41">
        <w:rPr>
          <w:rFonts w:asciiTheme="majorHAnsi" w:hAnsiTheme="majorHAnsi"/>
          <w:szCs w:val="24"/>
        </w:rPr>
        <w:t xml:space="preserve">. godinu povećanje od </w:t>
      </w:r>
      <w:r w:rsidR="00DB6262">
        <w:rPr>
          <w:rFonts w:asciiTheme="majorHAnsi" w:hAnsiTheme="majorHAnsi"/>
          <w:szCs w:val="24"/>
        </w:rPr>
        <w:t>1,</w:t>
      </w:r>
      <w:r w:rsidR="00A51E41">
        <w:rPr>
          <w:rFonts w:asciiTheme="majorHAnsi" w:hAnsiTheme="majorHAnsi"/>
          <w:szCs w:val="24"/>
        </w:rPr>
        <w:t>1</w:t>
      </w:r>
      <w:r w:rsidRPr="00F95BB0">
        <w:rPr>
          <w:rFonts w:asciiTheme="majorHAnsi" w:hAnsiTheme="majorHAnsi"/>
          <w:szCs w:val="24"/>
        </w:rPr>
        <w:t>%.</w:t>
      </w:r>
      <w:r w:rsidR="00892C78">
        <w:rPr>
          <w:rFonts w:asciiTheme="majorHAnsi" w:hAnsiTheme="majorHAnsi"/>
          <w:szCs w:val="24"/>
        </w:rPr>
        <w:t xml:space="preserve"> Do povećanja prihoda došlo je uglavnom zbog povećanja prihoda za plaću i naknada zaposlenima, te zbog kapitalnih prihoda od stran</w:t>
      </w:r>
      <w:r w:rsidR="00A51E41">
        <w:rPr>
          <w:rFonts w:asciiTheme="majorHAnsi" w:hAnsiTheme="majorHAnsi"/>
          <w:szCs w:val="24"/>
        </w:rPr>
        <w:t xml:space="preserve">e osnivača, MZO i Općine Nijemci za nabavu glazbene i sportske opreme </w:t>
      </w:r>
      <w:r w:rsidR="00DB6262">
        <w:rPr>
          <w:rFonts w:asciiTheme="majorHAnsi" w:hAnsiTheme="majorHAnsi"/>
          <w:szCs w:val="24"/>
        </w:rPr>
        <w:t>, uredske opreme i namještaja.</w:t>
      </w:r>
    </w:p>
    <w:p w:rsidR="00F95BB0" w:rsidRPr="00F95BB0" w:rsidRDefault="00F95BB0" w:rsidP="00F95BB0">
      <w:pPr>
        <w:pStyle w:val="NoSpacing"/>
        <w:rPr>
          <w:rFonts w:asciiTheme="majorHAnsi" w:hAnsiTheme="majorHAnsi"/>
          <w:sz w:val="16"/>
          <w:szCs w:val="24"/>
        </w:rPr>
      </w:pPr>
    </w:p>
    <w:p w:rsidR="00F95BB0" w:rsidRPr="00F95BB0" w:rsidRDefault="00F95BB0" w:rsidP="00F95BB0">
      <w:pPr>
        <w:pStyle w:val="NoSpacing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RASHODI</w:t>
      </w:r>
    </w:p>
    <w:p w:rsidR="00F95BB0" w:rsidRDefault="00F95BB0" w:rsidP="00F95BB0">
      <w:pPr>
        <w:pStyle w:val="NoSpacing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148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DB6262">
        <w:rPr>
          <w:rFonts w:asciiTheme="majorHAnsi" w:hAnsiTheme="majorHAnsi"/>
          <w:szCs w:val="24"/>
        </w:rPr>
        <w:t>2.903.092</w:t>
      </w:r>
      <w:r w:rsidRPr="00F95BB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</w:t>
      </w:r>
      <w:r w:rsidRPr="00F95BB0">
        <w:rPr>
          <w:rFonts w:asciiTheme="majorHAnsi" w:hAnsiTheme="majorHAnsi"/>
          <w:szCs w:val="24"/>
        </w:rPr>
        <w:t>n rashoda (klasa 3) što je u odnosu na 201</w:t>
      </w:r>
      <w:r w:rsidR="00DB6262">
        <w:rPr>
          <w:rFonts w:asciiTheme="majorHAnsi" w:hAnsiTheme="majorHAnsi"/>
          <w:szCs w:val="24"/>
        </w:rPr>
        <w:t>9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DB6262">
        <w:rPr>
          <w:rFonts w:asciiTheme="majorHAnsi" w:hAnsiTheme="majorHAnsi"/>
          <w:szCs w:val="24"/>
        </w:rPr>
        <w:t>2,3</w:t>
      </w:r>
      <w:r w:rsidRPr="00F95BB0">
        <w:rPr>
          <w:rFonts w:asciiTheme="majorHAnsi" w:hAnsiTheme="majorHAnsi"/>
          <w:szCs w:val="24"/>
        </w:rPr>
        <w:t>%.</w:t>
      </w:r>
      <w:r w:rsidR="00DB6262">
        <w:rPr>
          <w:rFonts w:asciiTheme="majorHAnsi" w:hAnsiTheme="majorHAnsi"/>
          <w:szCs w:val="24"/>
        </w:rPr>
        <w:t xml:space="preserve"> Povećanje je minimalno a rezultat je povećanja osnovice te koeficijenta složenosti posla u osnovno školskom obrazovanju kao i većih potreba za energentima (lož ulje) za grijanje.</w:t>
      </w:r>
    </w:p>
    <w:p w:rsidR="006E51EB" w:rsidRPr="006E51EB" w:rsidRDefault="006E51EB" w:rsidP="00F95BB0">
      <w:pPr>
        <w:pStyle w:val="NoSpacing"/>
        <w:rPr>
          <w:rFonts w:asciiTheme="majorHAnsi" w:hAnsiTheme="majorHAnsi"/>
          <w:sz w:val="16"/>
          <w:szCs w:val="24"/>
        </w:rPr>
      </w:pPr>
    </w:p>
    <w:p w:rsidR="00F95BB0" w:rsidRDefault="00F95BB0" w:rsidP="00892C78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AOP 341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DB6262">
        <w:rPr>
          <w:rFonts w:asciiTheme="majorHAnsi" w:hAnsiTheme="majorHAnsi"/>
          <w:szCs w:val="24"/>
        </w:rPr>
        <w:t>49.941</w:t>
      </w:r>
      <w:r w:rsidRPr="00F95BB0">
        <w:rPr>
          <w:rFonts w:asciiTheme="majorHAnsi" w:hAnsiTheme="majorHAnsi"/>
          <w:szCs w:val="24"/>
        </w:rPr>
        <w:t xml:space="preserve"> kn rashoda za nabavu nefinancijske imovine</w:t>
      </w:r>
      <w:r>
        <w:rPr>
          <w:rFonts w:asciiTheme="majorHAnsi" w:hAnsiTheme="majorHAnsi"/>
          <w:szCs w:val="24"/>
        </w:rPr>
        <w:t xml:space="preserve"> (klasa 4)</w:t>
      </w:r>
      <w:r w:rsidR="00DB6262">
        <w:rPr>
          <w:rFonts w:asciiTheme="majorHAnsi" w:hAnsiTheme="majorHAnsi"/>
          <w:szCs w:val="24"/>
        </w:rPr>
        <w:t>, manji iznos utrošenih sredstva rezultat je većih ulaganja prethodnih godina.</w:t>
      </w:r>
    </w:p>
    <w:p w:rsidR="006E51EB" w:rsidRPr="006E51EB" w:rsidRDefault="006E51EB" w:rsidP="00F95BB0">
      <w:pPr>
        <w:pStyle w:val="NoSpacing"/>
        <w:rPr>
          <w:rFonts w:asciiTheme="majorHAnsi" w:hAnsiTheme="majorHAnsi"/>
          <w:b/>
          <w:sz w:val="16"/>
          <w:szCs w:val="24"/>
        </w:rPr>
      </w:pPr>
    </w:p>
    <w:p w:rsidR="00AC5CC8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</w:t>
      </w:r>
      <w:r>
        <w:rPr>
          <w:rFonts w:asciiTheme="majorHAnsi" w:hAnsiTheme="majorHAnsi"/>
          <w:b/>
          <w:szCs w:val="24"/>
        </w:rPr>
        <w:t>49</w:t>
      </w:r>
      <w:r w:rsidRPr="006E51EB">
        <w:rPr>
          <w:rFonts w:asciiTheme="majorHAnsi" w:hAnsiTheme="majorHAnsi"/>
          <w:szCs w:val="24"/>
        </w:rPr>
        <w:t xml:space="preserve"> Od ukupnih rashoda</w:t>
      </w:r>
      <w:r>
        <w:rPr>
          <w:rFonts w:asciiTheme="majorHAnsi" w:hAnsiTheme="majorHAnsi"/>
          <w:szCs w:val="24"/>
        </w:rPr>
        <w:t xml:space="preserve"> poslovanja (AOP 148) </w:t>
      </w:r>
      <w:r w:rsidRPr="006E51EB">
        <w:rPr>
          <w:rFonts w:asciiTheme="majorHAnsi" w:hAnsiTheme="majorHAnsi"/>
          <w:szCs w:val="24"/>
        </w:rPr>
        <w:t xml:space="preserve"> </w:t>
      </w:r>
      <w:r w:rsidR="00DB6262">
        <w:rPr>
          <w:rFonts w:asciiTheme="majorHAnsi" w:hAnsiTheme="majorHAnsi"/>
          <w:szCs w:val="24"/>
        </w:rPr>
        <w:t xml:space="preserve">najveći dio se odnosi na rashode zaposlenih, ukupno povećanje od 5,2% nastalo je zbog povećanja osnovice </w:t>
      </w:r>
      <w:r w:rsidRPr="006E51EB">
        <w:rPr>
          <w:rFonts w:asciiTheme="majorHAnsi" w:hAnsiTheme="majorHAnsi"/>
          <w:szCs w:val="24"/>
        </w:rPr>
        <w:t xml:space="preserve"> </w:t>
      </w:r>
      <w:r w:rsidR="00DB6262">
        <w:rPr>
          <w:rFonts w:asciiTheme="majorHAnsi" w:hAnsiTheme="majorHAnsi"/>
          <w:szCs w:val="24"/>
        </w:rPr>
        <w:t>i povećanja koeficijenta složenosti pos</w:t>
      </w:r>
      <w:r w:rsidR="00067FED">
        <w:rPr>
          <w:rFonts w:asciiTheme="majorHAnsi" w:hAnsiTheme="majorHAnsi"/>
          <w:szCs w:val="24"/>
        </w:rPr>
        <w:t>lova.</w:t>
      </w:r>
    </w:p>
    <w:p w:rsidR="00AC5CC8" w:rsidRDefault="00AC5CC8" w:rsidP="006E51EB">
      <w:pPr>
        <w:pStyle w:val="NoSpacing"/>
        <w:jc w:val="both"/>
        <w:rPr>
          <w:rFonts w:asciiTheme="majorHAnsi" w:hAnsiTheme="majorHAnsi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16</w:t>
      </w:r>
      <w:r>
        <w:rPr>
          <w:rFonts w:asciiTheme="majorHAnsi" w:hAnsiTheme="majorHAnsi"/>
          <w:b/>
          <w:szCs w:val="24"/>
        </w:rPr>
        <w:t>1</w:t>
      </w:r>
      <w:r w:rsidR="00DF28B1">
        <w:rPr>
          <w:rFonts w:asciiTheme="majorHAnsi" w:hAnsiTheme="majorHAnsi"/>
          <w:b/>
          <w:szCs w:val="24"/>
        </w:rPr>
        <w:t xml:space="preserve"> </w:t>
      </w:r>
      <w:r w:rsidR="00DF28B1">
        <w:rPr>
          <w:rFonts w:asciiTheme="majorHAnsi" w:hAnsiTheme="majorHAnsi"/>
          <w:szCs w:val="24"/>
        </w:rPr>
        <w:t xml:space="preserve">naknade troškova zaposlenih zabilježeno je </w:t>
      </w:r>
      <w:r w:rsidRPr="006E51EB">
        <w:rPr>
          <w:rFonts w:asciiTheme="majorHAnsi" w:hAnsiTheme="majorHAnsi"/>
          <w:szCs w:val="24"/>
        </w:rPr>
        <w:t xml:space="preserve"> </w:t>
      </w:r>
      <w:r w:rsidR="00067FED">
        <w:rPr>
          <w:rFonts w:asciiTheme="majorHAnsi" w:hAnsiTheme="majorHAnsi"/>
          <w:szCs w:val="24"/>
        </w:rPr>
        <w:t>smanjenje rashoda zbog COVID-19 krize.</w:t>
      </w:r>
    </w:p>
    <w:p w:rsidR="00DF28B1" w:rsidRDefault="00DF28B1" w:rsidP="006E51EB">
      <w:pPr>
        <w:pStyle w:val="NoSpacing"/>
        <w:jc w:val="both"/>
        <w:rPr>
          <w:rFonts w:asciiTheme="majorHAnsi" w:hAnsiTheme="majorHAnsi"/>
          <w:szCs w:val="24"/>
        </w:rPr>
      </w:pPr>
    </w:p>
    <w:p w:rsidR="00DF28B1" w:rsidRDefault="00DF28B1" w:rsidP="00DF28B1">
      <w:pPr>
        <w:pStyle w:val="NoSpacing"/>
        <w:jc w:val="both"/>
        <w:rPr>
          <w:rFonts w:asciiTheme="majorHAnsi" w:hAnsiTheme="majorHAnsi"/>
          <w:szCs w:val="24"/>
        </w:rPr>
      </w:pPr>
      <w:r w:rsidRPr="00DF28B1">
        <w:rPr>
          <w:rFonts w:asciiTheme="majorHAnsi" w:hAnsiTheme="majorHAnsi"/>
          <w:b/>
          <w:szCs w:val="24"/>
        </w:rPr>
        <w:t>AOP 166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od rashoda za materijal i energiju najznačajnije povećanje je zabilježeno  </w:t>
      </w:r>
      <w:r w:rsidR="00067FED">
        <w:rPr>
          <w:rFonts w:asciiTheme="majorHAnsi" w:hAnsiTheme="majorHAnsi"/>
          <w:szCs w:val="24"/>
        </w:rPr>
        <w:t>na AOP</w:t>
      </w:r>
      <w:r w:rsidR="007F7547">
        <w:rPr>
          <w:rFonts w:asciiTheme="majorHAnsi" w:hAnsiTheme="majorHAnsi"/>
          <w:szCs w:val="24"/>
        </w:rPr>
        <w:t xml:space="preserve"> 169 (veće potrebe za lož uljem, grijanje)</w:t>
      </w:r>
    </w:p>
    <w:p w:rsidR="00DF28B1" w:rsidRPr="00DF28B1" w:rsidRDefault="00DF28B1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701B47" w:rsidRDefault="006E51EB" w:rsidP="00701B47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174</w:t>
      </w:r>
      <w:r w:rsidRPr="006E51EB">
        <w:rPr>
          <w:rFonts w:asciiTheme="majorHAnsi" w:hAnsiTheme="majorHAnsi"/>
          <w:szCs w:val="24"/>
        </w:rPr>
        <w:t xml:space="preserve"> od rashoda za usluge skupine 323, </w:t>
      </w:r>
      <w:r w:rsidR="007F7547">
        <w:rPr>
          <w:rFonts w:asciiTheme="majorHAnsi" w:hAnsiTheme="majorHAnsi"/>
          <w:szCs w:val="24"/>
        </w:rPr>
        <w:t>troškovi usluga</w:t>
      </w:r>
      <w:r w:rsidR="00DF28B1">
        <w:rPr>
          <w:rFonts w:asciiTheme="majorHAnsi" w:hAnsiTheme="majorHAnsi"/>
          <w:szCs w:val="24"/>
        </w:rPr>
        <w:t xml:space="preserve"> telefona pošte i prijevoza rasle su za </w:t>
      </w:r>
      <w:r w:rsidR="007F7547">
        <w:rPr>
          <w:rFonts w:asciiTheme="majorHAnsi" w:hAnsiTheme="majorHAnsi"/>
          <w:szCs w:val="24"/>
        </w:rPr>
        <w:t>smanjene su</w:t>
      </w:r>
      <w:r w:rsidR="00DF28B1">
        <w:rPr>
          <w:rFonts w:asciiTheme="majorHAnsi" w:hAnsiTheme="majorHAnsi"/>
          <w:szCs w:val="24"/>
        </w:rPr>
        <w:t xml:space="preserve"> u odnosu na prošlu godinu, ostali rashodi unutar skupine </w:t>
      </w:r>
      <w:r w:rsidR="007F7547">
        <w:rPr>
          <w:rFonts w:asciiTheme="majorHAnsi" w:hAnsiTheme="majorHAnsi"/>
          <w:szCs w:val="24"/>
        </w:rPr>
        <w:t>reducirani su na minimum zbog COVID-19 krize.</w:t>
      </w:r>
    </w:p>
    <w:p w:rsidR="00251582" w:rsidRPr="006E51EB" w:rsidRDefault="00251582" w:rsidP="006E51EB">
      <w:pPr>
        <w:pStyle w:val="NoSpacing"/>
        <w:jc w:val="both"/>
        <w:rPr>
          <w:rFonts w:asciiTheme="majorHAnsi" w:hAnsiTheme="majorHAnsi"/>
          <w:sz w:val="14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282</w:t>
      </w:r>
      <w:r w:rsidRPr="006E51EB">
        <w:rPr>
          <w:rFonts w:asciiTheme="majorHAnsi" w:hAnsiTheme="majorHAnsi"/>
          <w:szCs w:val="24"/>
        </w:rPr>
        <w:t xml:space="preserve"> Iz navedenih podataka proizlazi višak prihoda poslovanja u iznosu od </w:t>
      </w:r>
      <w:r w:rsidR="007F7547">
        <w:rPr>
          <w:rFonts w:asciiTheme="majorHAnsi" w:hAnsiTheme="majorHAnsi"/>
          <w:szCs w:val="24"/>
        </w:rPr>
        <w:t>58.990</w:t>
      </w:r>
      <w:r w:rsidRPr="006E51EB">
        <w:rPr>
          <w:rFonts w:asciiTheme="majorHAnsi" w:hAnsiTheme="majorHAnsi"/>
          <w:szCs w:val="24"/>
        </w:rPr>
        <w:t xml:space="preserve"> (razlika između prihoda i rashoda poslovanja). Višak prihoda poslovanja prenesen iz 201</w:t>
      </w:r>
      <w:r w:rsidR="007F7547">
        <w:rPr>
          <w:rFonts w:asciiTheme="majorHAnsi" w:hAnsiTheme="majorHAnsi"/>
          <w:szCs w:val="24"/>
        </w:rPr>
        <w:t>9</w:t>
      </w:r>
      <w:r w:rsidRPr="006E51EB">
        <w:rPr>
          <w:rFonts w:asciiTheme="majorHAnsi" w:hAnsiTheme="majorHAnsi"/>
          <w:szCs w:val="24"/>
        </w:rPr>
        <w:t xml:space="preserve">. godine iznosi </w:t>
      </w:r>
      <w:r w:rsidR="007F7547">
        <w:rPr>
          <w:rFonts w:asciiTheme="majorHAnsi" w:hAnsiTheme="majorHAnsi"/>
          <w:szCs w:val="24"/>
        </w:rPr>
        <w:t>18.160</w:t>
      </w:r>
      <w:r w:rsidR="00251582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>.</w:t>
      </w:r>
    </w:p>
    <w:p w:rsidR="006E51EB" w:rsidRPr="006E51EB" w:rsidRDefault="006E51EB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 xml:space="preserve">AOP </w:t>
      </w:r>
      <w:r w:rsidR="00DA328B">
        <w:rPr>
          <w:rFonts w:asciiTheme="majorHAnsi" w:hAnsiTheme="majorHAnsi"/>
          <w:b/>
          <w:szCs w:val="24"/>
        </w:rPr>
        <w:t>399</w:t>
      </w:r>
      <w:r w:rsidRPr="006E51EB">
        <w:rPr>
          <w:rFonts w:asciiTheme="majorHAnsi" w:hAnsiTheme="majorHAnsi"/>
          <w:szCs w:val="24"/>
        </w:rPr>
        <w:t xml:space="preserve"> </w:t>
      </w:r>
      <w:r w:rsidR="00DA328B">
        <w:rPr>
          <w:rFonts w:asciiTheme="majorHAnsi" w:hAnsiTheme="majorHAnsi"/>
          <w:szCs w:val="24"/>
        </w:rPr>
        <w:t>Manjak prihoda</w:t>
      </w:r>
      <w:r w:rsidR="007F7547">
        <w:rPr>
          <w:rFonts w:asciiTheme="majorHAnsi" w:hAnsiTheme="majorHAnsi"/>
          <w:szCs w:val="24"/>
        </w:rPr>
        <w:t xml:space="preserve"> od nefinancijske imovine u 2020</w:t>
      </w:r>
      <w:r w:rsidR="00DF28B1">
        <w:rPr>
          <w:rFonts w:asciiTheme="majorHAnsi" w:hAnsiTheme="majorHAnsi"/>
          <w:szCs w:val="24"/>
        </w:rPr>
        <w:t xml:space="preserve">. godini je </w:t>
      </w:r>
      <w:r w:rsidR="007F7547">
        <w:rPr>
          <w:rFonts w:asciiTheme="majorHAnsi" w:hAnsiTheme="majorHAnsi"/>
          <w:szCs w:val="24"/>
        </w:rPr>
        <w:t>49.941 kn</w:t>
      </w:r>
    </w:p>
    <w:p w:rsidR="006E51EB" w:rsidRPr="006E51EB" w:rsidRDefault="006E51EB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b/>
          <w:szCs w:val="24"/>
        </w:rPr>
      </w:pPr>
      <w:r w:rsidRPr="006E51EB">
        <w:rPr>
          <w:rFonts w:asciiTheme="majorHAnsi" w:hAnsiTheme="majorHAnsi"/>
          <w:szCs w:val="24"/>
        </w:rPr>
        <w:t xml:space="preserve">Kao rezultat prije navedenog, </w:t>
      </w:r>
      <w:r w:rsidR="00DA328B">
        <w:rPr>
          <w:rFonts w:asciiTheme="majorHAnsi" w:hAnsiTheme="majorHAnsi"/>
          <w:szCs w:val="24"/>
        </w:rPr>
        <w:t xml:space="preserve">ukupan manjak prihoda i primitaka za pokriće u sljedećem razdoblju iznosi </w:t>
      </w:r>
      <w:r w:rsidR="007F7547">
        <w:rPr>
          <w:rFonts w:asciiTheme="majorHAnsi" w:hAnsiTheme="majorHAnsi"/>
          <w:szCs w:val="24"/>
        </w:rPr>
        <w:t>27.209</w:t>
      </w:r>
      <w:r w:rsidR="00DA328B">
        <w:rPr>
          <w:rFonts w:asciiTheme="majorHAnsi" w:hAnsiTheme="majorHAnsi"/>
          <w:szCs w:val="24"/>
        </w:rPr>
        <w:t xml:space="preserve"> kn </w:t>
      </w:r>
      <w:r w:rsidR="00D45FA9">
        <w:rPr>
          <w:rFonts w:asciiTheme="majorHAnsi" w:hAnsiTheme="majorHAnsi"/>
          <w:b/>
          <w:szCs w:val="24"/>
        </w:rPr>
        <w:t>(AOP 631+633-632-634</w:t>
      </w:r>
      <w:r w:rsidR="00DA328B" w:rsidRPr="00DA328B">
        <w:rPr>
          <w:rFonts w:asciiTheme="majorHAnsi" w:hAnsiTheme="majorHAnsi"/>
          <w:b/>
          <w:szCs w:val="24"/>
        </w:rPr>
        <w:t>)</w:t>
      </w:r>
    </w:p>
    <w:p w:rsidR="000C05A2" w:rsidRPr="006E51EB" w:rsidRDefault="000C05A2" w:rsidP="006E51EB">
      <w:pPr>
        <w:pStyle w:val="NoSpacing"/>
        <w:jc w:val="both"/>
        <w:rPr>
          <w:rFonts w:asciiTheme="majorHAnsi" w:hAnsiTheme="majorHAnsi"/>
          <w:szCs w:val="24"/>
        </w:rPr>
      </w:pPr>
    </w:p>
    <w:p w:rsidR="00F95BB0" w:rsidRPr="0066692C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126"/>
        <w:gridCol w:w="923"/>
        <w:gridCol w:w="1897"/>
        <w:gridCol w:w="2004"/>
        <w:gridCol w:w="1158"/>
      </w:tblGrid>
      <w:tr w:rsidR="007B042F" w:rsidRPr="00196D2B" w:rsidTr="00F71FFF">
        <w:tc>
          <w:tcPr>
            <w:tcW w:w="959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402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98" w:type="dxa"/>
            <w:shd w:val="clear" w:color="auto" w:fill="000000" w:themeFill="text1"/>
          </w:tcPr>
          <w:p w:rsidR="00385BEF" w:rsidRPr="00196D2B" w:rsidRDefault="007F7547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126" w:type="dxa"/>
            <w:shd w:val="clear" w:color="auto" w:fill="000000" w:themeFill="text1"/>
          </w:tcPr>
          <w:p w:rsidR="00385BEF" w:rsidRPr="00196D2B" w:rsidRDefault="007F7547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218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001</w:t>
            </w:r>
          </w:p>
        </w:tc>
        <w:tc>
          <w:tcPr>
            <w:tcW w:w="199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2.928.791</w:t>
            </w:r>
          </w:p>
        </w:tc>
        <w:tc>
          <w:tcPr>
            <w:tcW w:w="2126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2.926.082</w:t>
            </w:r>
          </w:p>
        </w:tc>
        <w:tc>
          <w:tcPr>
            <w:tcW w:w="121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101,1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</w:t>
            </w:r>
            <w:r w:rsidR="00B5451C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199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2.838.415</w:t>
            </w:r>
          </w:p>
        </w:tc>
        <w:tc>
          <w:tcPr>
            <w:tcW w:w="2126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2.903.092</w:t>
            </w:r>
          </w:p>
        </w:tc>
        <w:tc>
          <w:tcPr>
            <w:tcW w:w="1218" w:type="dxa"/>
          </w:tcPr>
          <w:p w:rsidR="00385BEF" w:rsidRDefault="00D45FA9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111,8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VIŠAK PRIHODA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90.376</w:t>
            </w:r>
          </w:p>
        </w:tc>
        <w:tc>
          <w:tcPr>
            <w:tcW w:w="2126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22.990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za nabavu nefinancijske imovine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B5451C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341</w:t>
            </w:r>
          </w:p>
        </w:tc>
        <w:tc>
          <w:tcPr>
            <w:tcW w:w="199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130.554</w:t>
            </w:r>
          </w:p>
        </w:tc>
        <w:tc>
          <w:tcPr>
            <w:tcW w:w="2126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49.941</w:t>
            </w:r>
          </w:p>
        </w:tc>
        <w:tc>
          <w:tcPr>
            <w:tcW w:w="1218" w:type="dxa"/>
          </w:tcPr>
          <w:p w:rsidR="00385BEF" w:rsidRDefault="007F754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38,3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UKUPNI VIŠAK/MANJAK PRIHODA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54420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18163</w:t>
            </w:r>
          </w:p>
        </w:tc>
        <w:tc>
          <w:tcPr>
            <w:tcW w:w="2126" w:type="dxa"/>
          </w:tcPr>
          <w:p w:rsidR="00385BEF" w:rsidRDefault="0054420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27209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EC7404" w:rsidRDefault="00EC7404" w:rsidP="00B5451C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638-641</w:t>
      </w:r>
      <w:r w:rsidR="0054420F">
        <w:rPr>
          <w:rFonts w:asciiTheme="majorHAnsi" w:hAnsiTheme="majorHAnsi"/>
          <w:szCs w:val="24"/>
        </w:rPr>
        <w:t xml:space="preserve"> U 2020</w:t>
      </w:r>
      <w:r w:rsidRPr="00EC7404">
        <w:rPr>
          <w:rFonts w:asciiTheme="majorHAnsi" w:hAnsiTheme="majorHAnsi"/>
          <w:szCs w:val="24"/>
        </w:rPr>
        <w:t xml:space="preserve">. godinu ušli smo sa </w:t>
      </w:r>
      <w:r w:rsidR="0054420F">
        <w:rPr>
          <w:rFonts w:asciiTheme="majorHAnsi" w:hAnsiTheme="majorHAnsi"/>
          <w:szCs w:val="24"/>
        </w:rPr>
        <w:t>22.821</w:t>
      </w:r>
      <w:r w:rsidRPr="00EC7404">
        <w:rPr>
          <w:rFonts w:asciiTheme="majorHAnsi" w:hAnsiTheme="majorHAnsi"/>
          <w:szCs w:val="24"/>
        </w:rPr>
        <w:t xml:space="preserve"> na žiro računu i blagajni. Ukupni priljev novčanih sredstava je bio </w:t>
      </w:r>
      <w:r w:rsidR="0054420F">
        <w:rPr>
          <w:rFonts w:asciiTheme="majorHAnsi" w:hAnsiTheme="majorHAnsi"/>
          <w:szCs w:val="24"/>
        </w:rPr>
        <w:t>309.643</w:t>
      </w:r>
      <w:r w:rsidR="006E51EB">
        <w:rPr>
          <w:rFonts w:asciiTheme="majorHAnsi" w:hAnsiTheme="majorHAnsi"/>
          <w:szCs w:val="24"/>
        </w:rPr>
        <w:t xml:space="preserve"> kn</w:t>
      </w:r>
      <w:r w:rsidRPr="00EC7404">
        <w:rPr>
          <w:rFonts w:asciiTheme="majorHAnsi" w:hAnsiTheme="majorHAnsi"/>
          <w:szCs w:val="24"/>
        </w:rPr>
        <w:t xml:space="preserve">, dok je u istom </w:t>
      </w:r>
      <w:r w:rsidR="006E51EB">
        <w:rPr>
          <w:rFonts w:asciiTheme="majorHAnsi" w:hAnsiTheme="majorHAnsi"/>
          <w:szCs w:val="24"/>
        </w:rPr>
        <w:t>razdoblju</w:t>
      </w:r>
      <w:r w:rsidRPr="00EC7404">
        <w:rPr>
          <w:rFonts w:asciiTheme="majorHAnsi" w:hAnsiTheme="majorHAnsi"/>
          <w:szCs w:val="24"/>
        </w:rPr>
        <w:t xml:space="preserve"> odljev bio </w:t>
      </w:r>
      <w:r w:rsidR="0054420F">
        <w:rPr>
          <w:rFonts w:asciiTheme="majorHAnsi" w:hAnsiTheme="majorHAnsi"/>
          <w:szCs w:val="24"/>
        </w:rPr>
        <w:t>278.920</w:t>
      </w:r>
      <w:r w:rsidRPr="00EC7404">
        <w:rPr>
          <w:rFonts w:asciiTheme="majorHAnsi" w:hAnsiTheme="majorHAnsi"/>
          <w:szCs w:val="24"/>
        </w:rPr>
        <w:t>, te je stanje nov</w:t>
      </w:r>
      <w:r w:rsidR="0054420F">
        <w:rPr>
          <w:rFonts w:asciiTheme="majorHAnsi" w:hAnsiTheme="majorHAnsi"/>
          <w:szCs w:val="24"/>
        </w:rPr>
        <w:t>čanih sredstava na dan 31.12.2020</w:t>
      </w:r>
      <w:r w:rsidRPr="00EC7404">
        <w:rPr>
          <w:rFonts w:asciiTheme="majorHAnsi" w:hAnsiTheme="majorHAnsi"/>
          <w:szCs w:val="24"/>
        </w:rPr>
        <w:t xml:space="preserve">. iznosilo </w:t>
      </w:r>
      <w:r w:rsidR="0054420F">
        <w:rPr>
          <w:rFonts w:asciiTheme="majorHAnsi" w:hAnsiTheme="majorHAnsi"/>
          <w:szCs w:val="24"/>
        </w:rPr>
        <w:t>53.544</w:t>
      </w:r>
      <w:r w:rsidRPr="00EC7404">
        <w:rPr>
          <w:rFonts w:asciiTheme="majorHAnsi" w:hAnsiTheme="majorHAnsi"/>
          <w:szCs w:val="24"/>
        </w:rPr>
        <w:t>.</w:t>
      </w:r>
      <w:r w:rsidR="0054420F">
        <w:rPr>
          <w:rFonts w:asciiTheme="majorHAnsi" w:hAnsiTheme="majorHAnsi"/>
          <w:szCs w:val="24"/>
        </w:rPr>
        <w:t xml:space="preserve"> AOP 641  indeks 234,6 izrazito je visok zbog manjih troškova poslovanja te uplate većeg iznosa sredstava krajem godine od strane općine i županije a za buduće potrebe škole.</w:t>
      </w:r>
    </w:p>
    <w:p w:rsidR="008E5048" w:rsidRDefault="008E5048" w:rsidP="00B5451C">
      <w:pPr>
        <w:pStyle w:val="NoSpacing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b/>
          <w:szCs w:val="24"/>
        </w:rPr>
      </w:pPr>
    </w:p>
    <w:p w:rsidR="00385BEF" w:rsidRPr="00D54F3A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D54F3A">
        <w:rPr>
          <w:rFonts w:asciiTheme="majorHAnsi" w:hAnsiTheme="majorHAnsi"/>
          <w:b/>
          <w:szCs w:val="24"/>
        </w:rPr>
        <w:t>Bilješke uz Izvještaj u vrijednosti i obujmu imovine i obveza – Obrazac P-VRIO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8E5048" w:rsidRDefault="008E5048" w:rsidP="008E5048">
      <w:pPr>
        <w:pStyle w:val="NoSpacing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 xml:space="preserve">Temeljem Uputa o priznavanju, mjerenju i evidentiranju imovine u vlasništvu Republike Hrvatske propisana je obveza proračunskih korisnika o prikazivanju promjena nad imovinom. </w:t>
      </w:r>
      <w:r w:rsidR="0054420F">
        <w:rPr>
          <w:rFonts w:asciiTheme="majorHAnsi" w:hAnsiTheme="majorHAnsi"/>
          <w:szCs w:val="24"/>
        </w:rPr>
        <w:t>U izvještajnom periodu došlo je do povećanja imovine AOP 004 u iznosu 580.076 kn, do povećanja u obujmu imovine došlo je zbog sanacije krovišta na školskoj zgradi u Lipovcu, što je vidljivo i iz obrasca Bilanca.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2D046C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izvještaj o rashodima prema funkcijskoj klasifikaciji – Obrazac RAS-funkcijski</w:t>
      </w:r>
    </w:p>
    <w:p w:rsidR="008E5048" w:rsidRPr="008E5048" w:rsidRDefault="008E5048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Default="008E5048" w:rsidP="008E5048">
      <w:pPr>
        <w:pStyle w:val="NoSpacing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U funkciji 09 nalazi se obrazovanje, te su ukupno iskazani rashodi poslovanja razreda 3</w:t>
      </w:r>
      <w:r>
        <w:rPr>
          <w:rFonts w:asciiTheme="majorHAnsi" w:hAnsiTheme="majorHAnsi"/>
          <w:szCs w:val="24"/>
        </w:rPr>
        <w:t xml:space="preserve"> i 4</w:t>
      </w:r>
      <w:r w:rsidRPr="008E5048">
        <w:rPr>
          <w:rFonts w:asciiTheme="majorHAnsi" w:hAnsiTheme="majorHAnsi"/>
          <w:szCs w:val="24"/>
        </w:rPr>
        <w:t xml:space="preserve"> uvršteni u AOP 113 navedenog obrasca u iznosu od </w:t>
      </w:r>
      <w:r w:rsidR="0054420F">
        <w:rPr>
          <w:rFonts w:asciiTheme="majorHAnsi" w:hAnsiTheme="majorHAnsi"/>
          <w:szCs w:val="24"/>
        </w:rPr>
        <w:t>2.953.003</w:t>
      </w:r>
      <w:r>
        <w:rPr>
          <w:rFonts w:asciiTheme="majorHAnsi" w:hAnsiTheme="majorHAnsi"/>
          <w:szCs w:val="24"/>
        </w:rPr>
        <w:t xml:space="preserve"> kn</w:t>
      </w:r>
      <w:r w:rsidRPr="008E5048">
        <w:rPr>
          <w:rFonts w:asciiTheme="majorHAnsi" w:hAnsiTheme="majorHAnsi"/>
          <w:szCs w:val="24"/>
        </w:rPr>
        <w:t>.</w:t>
      </w:r>
    </w:p>
    <w:p w:rsidR="008E5048" w:rsidRPr="008E5048" w:rsidRDefault="008E5048" w:rsidP="00385BEF">
      <w:pPr>
        <w:pStyle w:val="NoSpacing"/>
        <w:rPr>
          <w:rFonts w:asciiTheme="majorHAnsi" w:hAnsiTheme="majorHAnsi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104"/>
        <w:gridCol w:w="926"/>
        <w:gridCol w:w="1903"/>
        <w:gridCol w:w="2011"/>
        <w:gridCol w:w="1161"/>
      </w:tblGrid>
      <w:tr w:rsidR="00385BEF" w:rsidRPr="00196D2B" w:rsidTr="00D45FA9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4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03" w:type="dxa"/>
            <w:shd w:val="clear" w:color="auto" w:fill="000000" w:themeFill="text1"/>
          </w:tcPr>
          <w:p w:rsidR="00385BEF" w:rsidRPr="00196D2B" w:rsidRDefault="008E5048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.201</w:t>
            </w:r>
            <w:r w:rsidR="0054420F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</w:t>
            </w:r>
            <w:r w:rsidR="0054420F">
              <w:rPr>
                <w:rFonts w:asciiTheme="majorHAnsi" w:hAnsiTheme="majorHAnsi"/>
                <w:b/>
                <w:color w:val="FFFFFF" w:themeColor="background1"/>
                <w:szCs w:val="24"/>
              </w:rPr>
              <w:t>2020</w:t>
            </w:r>
            <w:r w:rsidR="008E5048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D45FA9">
        <w:tc>
          <w:tcPr>
            <w:tcW w:w="937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</w:t>
            </w:r>
          </w:p>
        </w:tc>
        <w:tc>
          <w:tcPr>
            <w:tcW w:w="3104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Obrazovanje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</w:t>
            </w:r>
          </w:p>
        </w:tc>
        <w:tc>
          <w:tcPr>
            <w:tcW w:w="1903" w:type="dxa"/>
          </w:tcPr>
          <w:p w:rsidR="00385BEF" w:rsidRDefault="0054420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2.968.969</w:t>
            </w:r>
          </w:p>
        </w:tc>
        <w:tc>
          <w:tcPr>
            <w:tcW w:w="2011" w:type="dxa"/>
          </w:tcPr>
          <w:p w:rsidR="00385BEF" w:rsidRDefault="0054420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2.953.003</w:t>
            </w:r>
          </w:p>
        </w:tc>
        <w:tc>
          <w:tcPr>
            <w:tcW w:w="1161" w:type="dxa"/>
          </w:tcPr>
          <w:p w:rsidR="00385BEF" w:rsidRDefault="0054420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99,5</w:t>
            </w:r>
          </w:p>
        </w:tc>
      </w:tr>
    </w:tbl>
    <w:p w:rsidR="004377D7" w:rsidRDefault="004377D7" w:rsidP="00385BEF">
      <w:pPr>
        <w:pStyle w:val="NoSpacing"/>
        <w:rPr>
          <w:rFonts w:asciiTheme="majorHAnsi" w:hAnsiTheme="majorHAnsi"/>
          <w:szCs w:val="24"/>
        </w:rPr>
      </w:pPr>
    </w:p>
    <w:p w:rsidR="008E5048" w:rsidRDefault="00385BEF" w:rsidP="00D45FA9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Rasho</w:t>
      </w:r>
      <w:r w:rsidR="00D45FA9">
        <w:rPr>
          <w:rFonts w:asciiTheme="majorHAnsi" w:hAnsiTheme="majorHAnsi"/>
          <w:szCs w:val="24"/>
        </w:rPr>
        <w:t>di osnovnog obrazovanja (AOP 113</w:t>
      </w:r>
      <w:r>
        <w:rPr>
          <w:rFonts w:asciiTheme="majorHAnsi" w:hAnsiTheme="majorHAnsi"/>
          <w:szCs w:val="24"/>
        </w:rPr>
        <w:t xml:space="preserve">) </w:t>
      </w:r>
      <w:r w:rsidR="0054420F">
        <w:rPr>
          <w:rFonts w:asciiTheme="majorHAnsi" w:hAnsiTheme="majorHAnsi"/>
          <w:szCs w:val="24"/>
        </w:rPr>
        <w:t>neznatno su manji u odnosu na 2019 godinu.</w:t>
      </w:r>
    </w:p>
    <w:p w:rsidR="008E5048" w:rsidRDefault="008E5048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NoSpacing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NoSpacing"/>
        <w:rPr>
          <w:rFonts w:asciiTheme="majorHAnsi" w:hAnsiTheme="majorHAnsi"/>
          <w:b/>
          <w:szCs w:val="24"/>
        </w:rPr>
      </w:pPr>
    </w:p>
    <w:p w:rsidR="00385BEF" w:rsidRPr="002D046C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obrazac Obveze</w:t>
      </w:r>
    </w:p>
    <w:p w:rsidR="008E5048" w:rsidRPr="008E5048" w:rsidRDefault="008E5048" w:rsidP="00784CFD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385BEF" w:rsidRDefault="00385BEF" w:rsidP="00784CFD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Škola je u 201</w:t>
      </w:r>
      <w:r w:rsidR="00B71190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 xml:space="preserve">. godinu prenijela ukupne obveze u iznosu od </w:t>
      </w:r>
      <w:r w:rsidR="0084638F">
        <w:rPr>
          <w:rFonts w:asciiTheme="majorHAnsi" w:hAnsiTheme="majorHAnsi"/>
          <w:szCs w:val="24"/>
        </w:rPr>
        <w:t>204.221</w:t>
      </w:r>
      <w:r>
        <w:rPr>
          <w:rFonts w:asciiTheme="majorHAnsi" w:hAnsiTheme="majorHAnsi"/>
          <w:szCs w:val="24"/>
        </w:rPr>
        <w:t xml:space="preserve"> kn (AOP 001), a odnose se materijalne rashode (energenti) </w:t>
      </w:r>
      <w:r w:rsidR="0084638F">
        <w:rPr>
          <w:rFonts w:asciiTheme="majorHAnsi" w:hAnsiTheme="majorHAnsi"/>
          <w:szCs w:val="24"/>
        </w:rPr>
        <w:t>i troškove plaće za prosinac 2020</w:t>
      </w:r>
      <w:r>
        <w:rPr>
          <w:rFonts w:asciiTheme="majorHAnsi" w:hAnsiTheme="majorHAnsi"/>
          <w:szCs w:val="24"/>
        </w:rPr>
        <w:t>. godine.</w:t>
      </w:r>
    </w:p>
    <w:p w:rsidR="00385BEF" w:rsidRDefault="00385BEF" w:rsidP="008E5048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povećanje obveza u ovoj godini iznosi </w:t>
      </w:r>
      <w:r w:rsidR="0084638F">
        <w:rPr>
          <w:rFonts w:asciiTheme="majorHAnsi" w:hAnsiTheme="majorHAnsi"/>
          <w:szCs w:val="24"/>
        </w:rPr>
        <w:t xml:space="preserve">2.786.174 </w:t>
      </w:r>
      <w:r>
        <w:rPr>
          <w:rFonts w:asciiTheme="majorHAnsi" w:hAnsiTheme="majorHAnsi"/>
          <w:szCs w:val="24"/>
        </w:rPr>
        <w:t xml:space="preserve"> kuna, od čega su obveze za zaposlene </w:t>
      </w:r>
      <w:r w:rsidR="0084638F">
        <w:rPr>
          <w:rFonts w:asciiTheme="majorHAnsi" w:hAnsiTheme="majorHAnsi"/>
          <w:szCs w:val="24"/>
        </w:rPr>
        <w:t xml:space="preserve">2.343.775kn </w:t>
      </w:r>
      <w:r>
        <w:rPr>
          <w:rFonts w:asciiTheme="majorHAnsi" w:hAnsiTheme="majorHAnsi"/>
          <w:szCs w:val="24"/>
        </w:rPr>
        <w:t xml:space="preserve">, obveze za materijalne rashode </w:t>
      </w:r>
      <w:r w:rsidR="0084638F">
        <w:rPr>
          <w:rFonts w:asciiTheme="majorHAnsi" w:hAnsiTheme="majorHAnsi"/>
          <w:szCs w:val="24"/>
        </w:rPr>
        <w:t xml:space="preserve">389.731 kn </w:t>
      </w:r>
      <w:r>
        <w:rPr>
          <w:rFonts w:asciiTheme="majorHAnsi" w:hAnsiTheme="majorHAnsi"/>
          <w:szCs w:val="24"/>
        </w:rPr>
        <w:t xml:space="preserve">, financijski rashodi </w:t>
      </w:r>
      <w:r w:rsidR="0084638F">
        <w:rPr>
          <w:rFonts w:asciiTheme="majorHAnsi" w:hAnsiTheme="majorHAnsi"/>
          <w:szCs w:val="24"/>
        </w:rPr>
        <w:t>2.727</w:t>
      </w:r>
      <w:r w:rsidR="00B71190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 xml:space="preserve">i obveze za nabavu nefinancijske imovine </w:t>
      </w:r>
      <w:r w:rsidR="0084638F">
        <w:rPr>
          <w:rFonts w:asciiTheme="majorHAnsi" w:hAnsiTheme="majorHAnsi"/>
          <w:szCs w:val="24"/>
        </w:rPr>
        <w:t>49.941</w:t>
      </w:r>
      <w:r>
        <w:rPr>
          <w:rFonts w:asciiTheme="majorHAnsi" w:hAnsiTheme="majorHAnsi"/>
          <w:szCs w:val="24"/>
        </w:rPr>
        <w:t xml:space="preserve"> kn. U povećanje obveza ulaze i nedospjele obveze, a odnose se na rashode poslovanja (13. Plaća za zaposlene) u iznosu od </w:t>
      </w:r>
      <w:r w:rsidR="00E12BAF">
        <w:rPr>
          <w:rFonts w:asciiTheme="majorHAnsi" w:hAnsiTheme="majorHAnsi"/>
          <w:szCs w:val="24"/>
        </w:rPr>
        <w:t>204.221</w:t>
      </w:r>
      <w:r>
        <w:rPr>
          <w:rFonts w:asciiTheme="majorHAnsi" w:hAnsiTheme="majorHAnsi"/>
          <w:szCs w:val="24"/>
        </w:rPr>
        <w:t xml:space="preserve"> kn.</w:t>
      </w:r>
    </w:p>
    <w:p w:rsidR="00385BEF" w:rsidRDefault="00385BEF" w:rsidP="00385BEF">
      <w:pPr>
        <w:pStyle w:val="NoSpacing"/>
        <w:ind w:left="720"/>
        <w:rPr>
          <w:rFonts w:asciiTheme="majorHAnsi" w:hAnsiTheme="majorHAnsi"/>
          <w:szCs w:val="24"/>
        </w:rPr>
      </w:pPr>
    </w:p>
    <w:p w:rsidR="00E12BAF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4F6084">
        <w:rPr>
          <w:rFonts w:asciiTheme="majorHAnsi" w:hAnsiTheme="majorHAnsi"/>
          <w:b/>
          <w:szCs w:val="24"/>
        </w:rPr>
        <w:t>Stanje nedospjelih obveza</w:t>
      </w:r>
      <w:r w:rsidR="00B37132">
        <w:rPr>
          <w:rFonts w:asciiTheme="majorHAnsi" w:hAnsiTheme="majorHAnsi"/>
          <w:b/>
          <w:szCs w:val="24"/>
        </w:rPr>
        <w:tab/>
      </w:r>
    </w:p>
    <w:tbl>
      <w:tblPr>
        <w:tblStyle w:val="TableGrid"/>
        <w:tblW w:w="8580" w:type="dxa"/>
        <w:tblLook w:val="04A0" w:firstRow="1" w:lastRow="0" w:firstColumn="1" w:lastColumn="0" w:noHBand="0" w:noVBand="1"/>
      </w:tblPr>
      <w:tblGrid>
        <w:gridCol w:w="4380"/>
        <w:gridCol w:w="2380"/>
        <w:gridCol w:w="1820"/>
      </w:tblGrid>
      <w:tr w:rsidR="0052549C" w:rsidRPr="0052549C" w:rsidTr="0052549C">
        <w:trPr>
          <w:trHeight w:val="525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bCs/>
                <w:szCs w:val="24"/>
              </w:rPr>
            </w:pPr>
            <w:r w:rsidRPr="0052549C">
              <w:rPr>
                <w:rFonts w:asciiTheme="majorHAnsi" w:hAnsiTheme="majorHAnsi"/>
                <w:b/>
                <w:bCs/>
                <w:szCs w:val="24"/>
              </w:rPr>
              <w:t>Naziv</w:t>
            </w:r>
            <w:r>
              <w:rPr>
                <w:rFonts w:asciiTheme="majorHAnsi" w:hAnsiTheme="majorHAnsi"/>
                <w:b/>
                <w:bCs/>
                <w:szCs w:val="24"/>
              </w:rPr>
              <w:t xml:space="preserve"> dobavljača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Broj računa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Iznos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MIRKO ROŠIĆ STOLARIJA ROŠIĆ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17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3000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EKO-FLOR PLUS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33006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48,71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HRVOJE HORVAT,DUO EKO-DIM,USLUGE SA SELA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481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906,25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FINANCIJSKA AGENCIJA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370-12203-07819390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375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EKO-FLOR PLUS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0096946-200133324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63,77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DOM ZDRAVLJA VINKOVCI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1282-248-191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417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PRVO PLINARSKO DRUŠTVO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0279188-20201201-1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43,75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PRVO PLINARSKO DRUŠTVO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6075835-20201201-0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1576,65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3476-400-1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181,34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3353-400-1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198,65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3394-400-1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195,67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FURNITURE1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5030504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10279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3395-400-1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199,91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3397-400-1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197,22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3398-400-1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179,45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3396-400-1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197,68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BOSO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3393-400-1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198,88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lastRenderedPageBreak/>
              <w:t>HEP-OPSKRBA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0010019382-201220-9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2341,44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HP - HRVATSKA POŠTA D.D.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110086-020-00021124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48,3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PRIVREDNA BANKA ZAGREB D.D.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2340-24202633369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202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HEP-OPSKRBA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0010019382-200820-1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418,86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VINKOVAČKI VODOVOD I KANALIZACIJA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8023-1-27284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26,28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VINKOVAČKI VODOVOD I KANALIZACIJA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8007-5-27281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429,57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PATRIČAR D.O.O.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2137-16497-116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2854,1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HRVATSKI TELEKOM D.D.</w:t>
            </w:r>
          </w:p>
        </w:tc>
        <w:tc>
          <w:tcPr>
            <w:tcW w:w="238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 xml:space="preserve"> 5007716107-256-1</w:t>
            </w:r>
          </w:p>
        </w:tc>
        <w:tc>
          <w:tcPr>
            <w:tcW w:w="1820" w:type="dxa"/>
            <w:hideMark/>
          </w:tcPr>
          <w:p w:rsidR="0052549C" w:rsidRPr="0052549C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52549C">
              <w:rPr>
                <w:rFonts w:asciiTheme="majorHAnsi" w:hAnsiTheme="majorHAnsi"/>
                <w:b/>
                <w:szCs w:val="24"/>
              </w:rPr>
              <w:t>231,1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</w:tcPr>
          <w:p w:rsidR="0052549C" w:rsidRPr="00CC1E16" w:rsidRDefault="00323FFD" w:rsidP="00323FFD">
            <w:pPr>
              <w:pStyle w:val="NoSpacing"/>
              <w:tabs>
                <w:tab w:val="left" w:pos="3015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Ostale naknade</w:t>
            </w:r>
          </w:p>
        </w:tc>
        <w:tc>
          <w:tcPr>
            <w:tcW w:w="2380" w:type="dxa"/>
          </w:tcPr>
          <w:p w:rsidR="0052549C" w:rsidRPr="00CC1E16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20" w:type="dxa"/>
          </w:tcPr>
          <w:p w:rsidR="0052549C" w:rsidRDefault="00323FFD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3059</w:t>
            </w:r>
          </w:p>
        </w:tc>
      </w:tr>
      <w:tr w:rsidR="0052549C" w:rsidRPr="0052549C" w:rsidTr="0052549C">
        <w:trPr>
          <w:trHeight w:val="300"/>
        </w:trPr>
        <w:tc>
          <w:tcPr>
            <w:tcW w:w="4380" w:type="dxa"/>
          </w:tcPr>
          <w:p w:rsidR="0052549C" w:rsidRPr="00CC1E16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 w:rsidRPr="00CC1E16">
              <w:rPr>
                <w:rFonts w:asciiTheme="majorHAnsi" w:hAnsiTheme="majorHAnsi"/>
                <w:b/>
                <w:szCs w:val="24"/>
              </w:rPr>
              <w:t>Plaća i naknada za prosinac</w:t>
            </w:r>
          </w:p>
        </w:tc>
        <w:tc>
          <w:tcPr>
            <w:tcW w:w="2380" w:type="dxa"/>
          </w:tcPr>
          <w:p w:rsidR="0052549C" w:rsidRPr="00CC1E16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20" w:type="dxa"/>
          </w:tcPr>
          <w:p w:rsidR="00323FFD" w:rsidRPr="00CC1E16" w:rsidRDefault="0052549C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194.511</w:t>
            </w:r>
          </w:p>
        </w:tc>
      </w:tr>
      <w:tr w:rsidR="00323FFD" w:rsidRPr="0052549C" w:rsidTr="0052549C">
        <w:trPr>
          <w:trHeight w:val="300"/>
        </w:trPr>
        <w:tc>
          <w:tcPr>
            <w:tcW w:w="4380" w:type="dxa"/>
          </w:tcPr>
          <w:p w:rsidR="00323FFD" w:rsidRPr="00CC1E16" w:rsidRDefault="00323FFD" w:rsidP="00323FFD">
            <w:pPr>
              <w:pStyle w:val="NoSpacing"/>
              <w:tabs>
                <w:tab w:val="left" w:pos="900"/>
              </w:tabs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ab/>
              <w:t>Ukupno</w:t>
            </w:r>
          </w:p>
        </w:tc>
        <w:tc>
          <w:tcPr>
            <w:tcW w:w="2380" w:type="dxa"/>
          </w:tcPr>
          <w:p w:rsidR="00323FFD" w:rsidRPr="00CC1E16" w:rsidRDefault="00323FFD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20" w:type="dxa"/>
          </w:tcPr>
          <w:p w:rsidR="00323FFD" w:rsidRDefault="00323FFD" w:rsidP="0052549C">
            <w:pPr>
              <w:pStyle w:val="NoSpacing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222.381</w:t>
            </w:r>
          </w:p>
        </w:tc>
      </w:tr>
    </w:tbl>
    <w:p w:rsidR="0052549C" w:rsidRDefault="0052549C" w:rsidP="00385BEF">
      <w:pPr>
        <w:pStyle w:val="NoSpacing"/>
        <w:rPr>
          <w:rFonts w:asciiTheme="majorHAnsi" w:hAnsiTheme="majorHAnsi"/>
          <w:b/>
          <w:szCs w:val="24"/>
        </w:rPr>
      </w:pPr>
    </w:p>
    <w:p w:rsidR="00E12BAF" w:rsidRDefault="00E12BAF" w:rsidP="00385BEF">
      <w:pPr>
        <w:pStyle w:val="NoSpacing"/>
        <w:rPr>
          <w:rFonts w:asciiTheme="majorHAnsi" w:hAnsiTheme="majorHAnsi"/>
          <w:b/>
          <w:szCs w:val="24"/>
        </w:rPr>
      </w:pPr>
    </w:p>
    <w:p w:rsidR="00B37132" w:rsidRDefault="00B37132" w:rsidP="00385BE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385BEF">
        <w:rPr>
          <w:rFonts w:asciiTheme="majorHAnsi" w:hAnsiTheme="majorHAnsi"/>
          <w:b/>
          <w:szCs w:val="24"/>
        </w:rPr>
        <w:tab/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</w:t>
      </w:r>
      <w:r w:rsidR="00CC1E16">
        <w:rPr>
          <w:rFonts w:asciiTheme="majorHAnsi" w:hAnsiTheme="majorHAnsi"/>
          <w:szCs w:val="24"/>
        </w:rPr>
        <w:t>Lipovcu</w:t>
      </w:r>
      <w:r>
        <w:rPr>
          <w:rFonts w:asciiTheme="majorHAnsi" w:hAnsiTheme="majorHAnsi"/>
          <w:szCs w:val="24"/>
        </w:rPr>
        <w:t xml:space="preserve">, </w:t>
      </w:r>
      <w:r w:rsidR="003763E2">
        <w:rPr>
          <w:rFonts w:asciiTheme="majorHAnsi" w:hAnsiTheme="majorHAnsi"/>
          <w:szCs w:val="24"/>
        </w:rPr>
        <w:t>2</w:t>
      </w:r>
      <w:r w:rsidR="00323FFD">
        <w:rPr>
          <w:rFonts w:asciiTheme="majorHAnsi" w:hAnsiTheme="majorHAnsi"/>
          <w:szCs w:val="24"/>
        </w:rPr>
        <w:t>9. siječnja 2021</w:t>
      </w:r>
      <w:bookmarkStart w:id="0" w:name="_GoBack"/>
      <w:bookmarkEnd w:id="0"/>
      <w:r>
        <w:rPr>
          <w:rFonts w:asciiTheme="majorHAnsi" w:hAnsiTheme="majorHAnsi"/>
          <w:szCs w:val="24"/>
        </w:rPr>
        <w:t>. godine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6E4E1D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     </w:t>
      </w:r>
      <w:r w:rsidR="00A17B9A">
        <w:rPr>
          <w:rFonts w:asciiTheme="majorHAnsi" w:hAnsiTheme="majorHAnsi"/>
          <w:b/>
          <w:szCs w:val="24"/>
        </w:rPr>
        <w:tab/>
        <w:t xml:space="preserve">      </w:t>
      </w:r>
      <w:r>
        <w:rPr>
          <w:rFonts w:asciiTheme="majorHAnsi" w:hAnsiTheme="majorHAnsi"/>
          <w:b/>
          <w:szCs w:val="24"/>
        </w:rPr>
        <w:t>ra</w:t>
      </w:r>
      <w:r w:rsidR="00A7351D">
        <w:rPr>
          <w:rFonts w:asciiTheme="majorHAnsi" w:hAnsiTheme="majorHAnsi"/>
          <w:b/>
          <w:szCs w:val="24"/>
        </w:rPr>
        <w:t>vnatelj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</w:t>
      </w:r>
      <w:r w:rsidRPr="006E4E1D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   </w:t>
      </w:r>
      <w:r w:rsidR="00A7351D">
        <w:rPr>
          <w:rFonts w:asciiTheme="majorHAnsi" w:hAnsiTheme="majorHAnsi"/>
          <w:b/>
          <w:szCs w:val="24"/>
        </w:rPr>
        <w:t xml:space="preserve">         </w:t>
      </w:r>
      <w:r w:rsidR="00CC1E16">
        <w:rPr>
          <w:rFonts w:asciiTheme="majorHAnsi" w:hAnsiTheme="majorHAnsi"/>
          <w:b/>
          <w:szCs w:val="24"/>
        </w:rPr>
        <w:t>Grgur Jurković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613DF6" w:rsidRDefault="00613DF6" w:rsidP="00613DF6">
      <w:pPr>
        <w:pStyle w:val="NoSpacing"/>
      </w:pPr>
    </w:p>
    <w:sectPr w:rsidR="00613DF6" w:rsidSect="003059CC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DBC"/>
    <w:multiLevelType w:val="hybridMultilevel"/>
    <w:tmpl w:val="F230BCDA"/>
    <w:lvl w:ilvl="0" w:tplc="BD8AFC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62BB"/>
    <w:multiLevelType w:val="hybridMultilevel"/>
    <w:tmpl w:val="F3E2BCF2"/>
    <w:lvl w:ilvl="0" w:tplc="D854B194">
      <w:start w:val="9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9"/>
    <w:rsid w:val="00052B06"/>
    <w:rsid w:val="00067FED"/>
    <w:rsid w:val="00091AB1"/>
    <w:rsid w:val="000C05A2"/>
    <w:rsid w:val="00107889"/>
    <w:rsid w:val="00121392"/>
    <w:rsid w:val="001731B8"/>
    <w:rsid w:val="002434A8"/>
    <w:rsid w:val="00251582"/>
    <w:rsid w:val="002A2FC2"/>
    <w:rsid w:val="003059CC"/>
    <w:rsid w:val="00323FFD"/>
    <w:rsid w:val="003763E2"/>
    <w:rsid w:val="00380ED3"/>
    <w:rsid w:val="00385BEF"/>
    <w:rsid w:val="003947DE"/>
    <w:rsid w:val="00432F62"/>
    <w:rsid w:val="004377D7"/>
    <w:rsid w:val="0047020F"/>
    <w:rsid w:val="004A35D9"/>
    <w:rsid w:val="004A5D1A"/>
    <w:rsid w:val="0052549C"/>
    <w:rsid w:val="0054420F"/>
    <w:rsid w:val="0058193D"/>
    <w:rsid w:val="00613DF6"/>
    <w:rsid w:val="0065101B"/>
    <w:rsid w:val="006C2CBF"/>
    <w:rsid w:val="006E51EB"/>
    <w:rsid w:val="00701B47"/>
    <w:rsid w:val="0072023B"/>
    <w:rsid w:val="0077245E"/>
    <w:rsid w:val="007844D0"/>
    <w:rsid w:val="00784CFD"/>
    <w:rsid w:val="007B042F"/>
    <w:rsid w:val="007C71F3"/>
    <w:rsid w:val="007E0E81"/>
    <w:rsid w:val="007F7547"/>
    <w:rsid w:val="0084638F"/>
    <w:rsid w:val="00892C78"/>
    <w:rsid w:val="008A40F6"/>
    <w:rsid w:val="008C2B29"/>
    <w:rsid w:val="008E5048"/>
    <w:rsid w:val="00975BC3"/>
    <w:rsid w:val="009F5447"/>
    <w:rsid w:val="00A02539"/>
    <w:rsid w:val="00A17B9A"/>
    <w:rsid w:val="00A51E41"/>
    <w:rsid w:val="00A7351D"/>
    <w:rsid w:val="00AC5CC8"/>
    <w:rsid w:val="00AD2EC5"/>
    <w:rsid w:val="00B329FF"/>
    <w:rsid w:val="00B37132"/>
    <w:rsid w:val="00B5451C"/>
    <w:rsid w:val="00B549F4"/>
    <w:rsid w:val="00B67B63"/>
    <w:rsid w:val="00B71190"/>
    <w:rsid w:val="00C66623"/>
    <w:rsid w:val="00C70330"/>
    <w:rsid w:val="00CC1E16"/>
    <w:rsid w:val="00CE2B57"/>
    <w:rsid w:val="00D45FA9"/>
    <w:rsid w:val="00DA328B"/>
    <w:rsid w:val="00DA4DF0"/>
    <w:rsid w:val="00DB6262"/>
    <w:rsid w:val="00DF28B1"/>
    <w:rsid w:val="00E12BAF"/>
    <w:rsid w:val="00E15078"/>
    <w:rsid w:val="00E1596C"/>
    <w:rsid w:val="00EC7404"/>
    <w:rsid w:val="00F00C7B"/>
    <w:rsid w:val="00F811EA"/>
    <w:rsid w:val="00F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DB8"/>
  <w15:chartTrackingRefBased/>
  <w15:docId w15:val="{2EAC7DAD-0C0F-4ED1-BDC5-1A3E1AD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3025-11F5-4FC5-99CD-2BE138B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Josip Kozarac</dc:creator>
  <cp:keywords/>
  <dc:description/>
  <cp:lastModifiedBy>asina sss</cp:lastModifiedBy>
  <cp:revision>37</cp:revision>
  <cp:lastPrinted>2020-01-31T07:49:00Z</cp:lastPrinted>
  <dcterms:created xsi:type="dcterms:W3CDTF">2019-01-28T10:42:00Z</dcterms:created>
  <dcterms:modified xsi:type="dcterms:W3CDTF">2021-01-30T19:04:00Z</dcterms:modified>
</cp:coreProperties>
</file>