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9312afa89486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21391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 LIPOVAC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se ponajvećim dijelom odnose na materijalne rashode zaposlenika i obveze dobavljača koje dospijevaju u narednom periodu na naplatu. Obveze za rashode poslovana u iznosu 410.834,38 eura sastoje se većim dijelom od obveza za zaposlene i manjim dijelom obveza za materijalne rashode i naknade za građane i kućanstva, a od toga je podmireno 422.020,60eura. Škola je na kraju 2025.godine imala obveze u visini Stanje 1. siječnja 2025. 116.819,56 eura. Međusobne obveze subjekata općeg proračuna iznose 836,01. Stanje dospjelih obveza na kraju izvještajnog razdoblja iznosi 1040,00eura.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Škola je u projektu Sheme voća, povrća i mlijeka i koristi sredstva za navedenu namjenu. Škola ima 28 učenika. Škola preko sheme nabavlja jabuke i mlijeko.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5c25ca539924429" /></Relationships>
</file>